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47" w:rsidRPr="007C74EC" w:rsidRDefault="00167647" w:rsidP="005822F4">
      <w:pPr>
        <w:pStyle w:val="NoSpacing"/>
        <w:jc w:val="both"/>
        <w:rPr>
          <w:rFonts w:ascii="Times New Roman" w:hAnsi="Times New Roman"/>
        </w:rPr>
      </w:pPr>
      <w:bookmarkStart w:id="0" w:name="_GoBack"/>
      <w:bookmarkEnd w:id="0"/>
    </w:p>
    <w:p w:rsidR="00167647" w:rsidRPr="009E643F" w:rsidRDefault="00167647" w:rsidP="009E643F">
      <w:pPr>
        <w:pStyle w:val="NoSpacing"/>
        <w:rPr>
          <w:rFonts w:ascii="Times New Roman" w:hAnsi="Times New Roman"/>
          <w:lang w:val="sr-Cyrl-CS"/>
        </w:rPr>
      </w:pPr>
    </w:p>
    <w:p w:rsidR="00167647" w:rsidRDefault="009E643F" w:rsidP="005822F4">
      <w:pPr>
        <w:pStyle w:val="NoSpacing"/>
        <w:jc w:val="both"/>
        <w:rPr>
          <w:rFonts w:ascii="Times New Roman" w:hAnsi="Times New Roman"/>
          <w:bCs/>
        </w:rPr>
      </w:pPr>
      <w:r w:rsidRPr="009E643F">
        <w:rPr>
          <w:rFonts w:ascii="Times New Roman" w:hAnsi="Times New Roman"/>
          <w:lang w:val="sr-Cyrl-CS"/>
        </w:rPr>
        <w:t xml:space="preserve">На основу Решења </w:t>
      </w:r>
      <w:r w:rsidR="004C460E">
        <w:rPr>
          <w:rFonts w:ascii="Times New Roman" w:hAnsi="Times New Roman"/>
          <w:lang w:val="sr-Cyrl-CS"/>
        </w:rPr>
        <w:t>о банкротству стечајног судије 1. Ст. 2663/10 од 21.09.2010</w:t>
      </w:r>
      <w:r w:rsidRPr="009E643F">
        <w:rPr>
          <w:rFonts w:ascii="Times New Roman" w:hAnsi="Times New Roman"/>
          <w:lang w:val="sr-Cyrl-CS"/>
        </w:rPr>
        <w:t>. године,</w:t>
      </w:r>
      <w:r w:rsidR="00167647" w:rsidRPr="009E643F">
        <w:rPr>
          <w:rFonts w:ascii="Times New Roman" w:hAnsi="Times New Roman"/>
          <w:lang w:val="sr-Cyrl-CS"/>
        </w:rPr>
        <w:t xml:space="preserve"> </w:t>
      </w:r>
      <w:r w:rsidR="00167647" w:rsidRPr="007C4B9A">
        <w:rPr>
          <w:rFonts w:ascii="Times New Roman" w:hAnsi="Times New Roman"/>
          <w:lang w:val="sr-Cyrl-CS"/>
        </w:rPr>
        <w:t>у складу са члан</w:t>
      </w:r>
      <w:r w:rsidR="00167647" w:rsidRPr="007C4B9A">
        <w:rPr>
          <w:rFonts w:ascii="Times New Roman" w:hAnsi="Times New Roman"/>
        </w:rPr>
        <w:t>o</w:t>
      </w:r>
      <w:r w:rsidR="00167647" w:rsidRPr="007C4B9A">
        <w:rPr>
          <w:rFonts w:ascii="Times New Roman" w:hAnsi="Times New Roman"/>
          <w:lang w:val="sr-Cyrl-CS"/>
        </w:rPr>
        <w:t>вима 131</w:t>
      </w:r>
      <w:r w:rsidR="00167647" w:rsidRPr="007C4B9A">
        <w:rPr>
          <w:rFonts w:ascii="Times New Roman" w:hAnsi="Times New Roman"/>
          <w:lang w:val="ru-RU"/>
        </w:rPr>
        <w:t>.,</w:t>
      </w:r>
      <w:r w:rsidR="00167647" w:rsidRPr="007C4B9A">
        <w:rPr>
          <w:rFonts w:ascii="Times New Roman" w:hAnsi="Times New Roman"/>
          <w:lang w:val="sr-Cyrl-CS"/>
        </w:rPr>
        <w:t xml:space="preserve"> </w:t>
      </w:r>
      <w:r w:rsidR="00167647" w:rsidRPr="007C4B9A">
        <w:rPr>
          <w:rFonts w:ascii="Times New Roman" w:hAnsi="Times New Roman"/>
          <w:lang w:val="ru-RU"/>
        </w:rPr>
        <w:t xml:space="preserve">132., </w:t>
      </w:r>
      <w:r w:rsidR="00167647" w:rsidRPr="007C4B9A">
        <w:rPr>
          <w:rFonts w:ascii="Times New Roman" w:hAnsi="Times New Roman"/>
          <w:lang w:val="sr-Cyrl-CS"/>
        </w:rPr>
        <w:t>133</w:t>
      </w:r>
      <w:r w:rsidR="00167647" w:rsidRPr="007C4B9A">
        <w:rPr>
          <w:rFonts w:ascii="Times New Roman" w:hAnsi="Times New Roman"/>
          <w:lang w:val="ru-RU"/>
        </w:rPr>
        <w:t>., 135., и 136</w:t>
      </w:r>
      <w:r w:rsidR="00167647" w:rsidRPr="007C4B9A">
        <w:rPr>
          <w:rFonts w:ascii="Times New Roman" w:hAnsi="Times New Roman"/>
          <w:lang w:val="sr-Cyrl-CS"/>
        </w:rPr>
        <w:t xml:space="preserve"> Закона о стечају («</w:t>
      </w:r>
      <w:r w:rsidR="00167647" w:rsidRPr="007C4B9A">
        <w:rPr>
          <w:rFonts w:ascii="Times New Roman" w:hAnsi="Times New Roman"/>
          <w:i/>
          <w:lang w:val="sr-Cyrl-CS"/>
        </w:rPr>
        <w:t>Службени гласник  Републике Србије» број 104/2009</w:t>
      </w:r>
      <w:r w:rsidR="00167647" w:rsidRPr="007C4B9A">
        <w:rPr>
          <w:rFonts w:ascii="Times New Roman" w:hAnsi="Times New Roman"/>
          <w:lang w:val="sr-Cyrl-CS"/>
        </w:rPr>
        <w:t xml:space="preserve">) и Националним стандардом број  </w:t>
      </w:r>
      <w:r w:rsidR="00167647" w:rsidRPr="007C4B9A">
        <w:rPr>
          <w:rFonts w:ascii="Times New Roman" w:hAnsi="Times New Roman"/>
        </w:rPr>
        <w:t>5</w:t>
      </w:r>
      <w:r w:rsidR="00167647" w:rsidRPr="007C4B9A">
        <w:rPr>
          <w:rFonts w:ascii="Times New Roman" w:hAnsi="Times New Roman"/>
          <w:lang w:val="sr-Cyrl-CS"/>
        </w:rPr>
        <w:t xml:space="preserve"> о начину и поступку уновчења имовине стечајног дужника </w:t>
      </w:r>
      <w:r w:rsidR="00167647" w:rsidRPr="009E643F">
        <w:rPr>
          <w:rFonts w:ascii="Times New Roman" w:hAnsi="Times New Roman"/>
          <w:lang w:val="sr-Cyrl-CS"/>
        </w:rPr>
        <w:t>(«</w:t>
      </w:r>
      <w:r w:rsidR="00167647" w:rsidRPr="009E643F">
        <w:rPr>
          <w:rFonts w:ascii="Times New Roman" w:hAnsi="Times New Roman"/>
          <w:bCs/>
          <w:lang w:val="sr-Cyrl-CS"/>
        </w:rPr>
        <w:t xml:space="preserve">Службени гласник Републике Србије» број 13/2010.), </w:t>
      </w:r>
      <w:r w:rsidR="009651A4" w:rsidRPr="009E643F">
        <w:rPr>
          <w:rFonts w:ascii="Times New Roman" w:hAnsi="Times New Roman"/>
          <w:bCs/>
          <w:lang w:val="sr-Cyrl-CS"/>
        </w:rPr>
        <w:t xml:space="preserve">као и </w:t>
      </w:r>
      <w:r w:rsidR="004C460E">
        <w:rPr>
          <w:rFonts w:ascii="Times New Roman" w:hAnsi="Times New Roman"/>
          <w:sz w:val="24"/>
          <w:szCs w:val="24"/>
          <w:lang w:val="sr-Cyrl-RS"/>
        </w:rPr>
        <w:t>Сагласности</w:t>
      </w:r>
      <w:r w:rsidR="004C460E" w:rsidRPr="00B96359">
        <w:rPr>
          <w:rFonts w:ascii="Times New Roman" w:hAnsi="Times New Roman"/>
          <w:sz w:val="24"/>
          <w:szCs w:val="24"/>
          <w:lang w:val="sr-Cyrl-RS"/>
        </w:rPr>
        <w:t xml:space="preserve"> Одбора поверил</w:t>
      </w:r>
      <w:r w:rsidR="004C460E">
        <w:rPr>
          <w:rFonts w:ascii="Times New Roman" w:hAnsi="Times New Roman"/>
          <w:sz w:val="24"/>
          <w:szCs w:val="24"/>
          <w:lang w:val="sr-Cyrl-RS"/>
        </w:rPr>
        <w:t>аца стечајног дужника од дана 19.02.2018.</w:t>
      </w:r>
      <w:r w:rsidR="004C460E" w:rsidRPr="00B96359">
        <w:rPr>
          <w:rFonts w:ascii="Times New Roman" w:hAnsi="Times New Roman"/>
          <w:sz w:val="24"/>
          <w:szCs w:val="24"/>
          <w:lang w:val="sr-Cyrl-RS"/>
        </w:rPr>
        <w:t xml:space="preserve"> године</w:t>
      </w:r>
      <w:r w:rsidR="004C460E">
        <w:rPr>
          <w:rFonts w:ascii="Times New Roman" w:hAnsi="Times New Roman"/>
          <w:sz w:val="24"/>
          <w:szCs w:val="24"/>
          <w:lang w:val="sr-Cyrl-RS"/>
        </w:rPr>
        <w:t xml:space="preserve"> и од дана 16.01.2019. године</w:t>
      </w:r>
      <w:r w:rsidR="0009745F" w:rsidRPr="009E643F">
        <w:rPr>
          <w:rFonts w:ascii="Times New Roman" w:hAnsi="Times New Roman"/>
          <w:bCs/>
          <w:lang w:val="sr-Cyrl-CS"/>
        </w:rPr>
        <w:t>,</w:t>
      </w:r>
      <w:r w:rsidR="00167647" w:rsidRPr="009E643F">
        <w:rPr>
          <w:rFonts w:ascii="Times New Roman" w:hAnsi="Times New Roman"/>
          <w:bCs/>
          <w:lang w:val="sr-Cyrl-CS"/>
        </w:rPr>
        <w:t xml:space="preserve"> стечајни управник стечајног дужника</w:t>
      </w:r>
      <w:r w:rsidR="00A6740C">
        <w:rPr>
          <w:rFonts w:ascii="Times New Roman" w:hAnsi="Times New Roman"/>
          <w:bCs/>
        </w:rPr>
        <w:t>:</w:t>
      </w:r>
    </w:p>
    <w:p w:rsidR="004C460E" w:rsidRDefault="004C460E" w:rsidP="005822F4">
      <w:pPr>
        <w:pStyle w:val="NoSpacing"/>
        <w:jc w:val="both"/>
        <w:rPr>
          <w:rFonts w:ascii="Times New Roman" w:hAnsi="Times New Roman"/>
          <w:bCs/>
        </w:rPr>
      </w:pPr>
    </w:p>
    <w:p w:rsidR="00F73062" w:rsidRPr="00D45909" w:rsidRDefault="004C460E" w:rsidP="00F73062">
      <w:pPr>
        <w:pStyle w:val="NoSpacing"/>
        <w:jc w:val="center"/>
        <w:rPr>
          <w:rFonts w:ascii="Times New Roman" w:hAnsi="Times New Roman"/>
          <w:sz w:val="24"/>
          <w:szCs w:val="24"/>
          <w:lang w:val="sr-Latn-RS"/>
        </w:rPr>
      </w:pPr>
      <w:r w:rsidRPr="00D45909">
        <w:rPr>
          <w:rFonts w:ascii="Times New Roman" w:hAnsi="Times New Roman"/>
          <w:sz w:val="24"/>
          <w:szCs w:val="24"/>
          <w:lang w:val="sr-Latn-RS"/>
        </w:rPr>
        <w:t>Предузеће за производњу електронских уређаја и система</w:t>
      </w:r>
    </w:p>
    <w:p w:rsidR="00F73062" w:rsidRPr="00D45909" w:rsidRDefault="00F73062" w:rsidP="00F73062">
      <w:pPr>
        <w:pStyle w:val="NoSpacing"/>
        <w:jc w:val="center"/>
        <w:rPr>
          <w:rFonts w:ascii="Times New Roman" w:hAnsi="Times New Roman"/>
          <w:sz w:val="24"/>
          <w:szCs w:val="24"/>
          <w:lang w:val="sr-Latn-RS"/>
        </w:rPr>
      </w:pPr>
      <w:r w:rsidRPr="00D45909">
        <w:rPr>
          <w:rFonts w:ascii="Times New Roman" w:hAnsi="Times New Roman"/>
          <w:sz w:val="24"/>
          <w:szCs w:val="24"/>
          <w:lang w:val="sr-Latn-RS"/>
        </w:rPr>
        <w:t>КОМЕЛ д.о.о. – у стечају</w:t>
      </w:r>
    </w:p>
    <w:p w:rsidR="00167647" w:rsidRPr="00D45909" w:rsidRDefault="00F73062" w:rsidP="00F73062">
      <w:pPr>
        <w:pStyle w:val="NoSpacing"/>
        <w:jc w:val="center"/>
        <w:rPr>
          <w:rFonts w:ascii="Times New Roman" w:hAnsi="Times New Roman"/>
          <w:sz w:val="24"/>
          <w:szCs w:val="24"/>
          <w:lang w:val="sr-Latn-RS"/>
        </w:rPr>
      </w:pPr>
      <w:r w:rsidRPr="00D45909">
        <w:rPr>
          <w:rFonts w:ascii="Times New Roman" w:hAnsi="Times New Roman"/>
          <w:sz w:val="24"/>
          <w:szCs w:val="24"/>
          <w:lang w:val="sr-Latn-RS"/>
        </w:rPr>
        <w:t xml:space="preserve">Београд, </w:t>
      </w:r>
      <w:r w:rsidR="00683B66">
        <w:rPr>
          <w:rFonts w:ascii="Times New Roman" w:hAnsi="Times New Roman"/>
          <w:sz w:val="24"/>
          <w:szCs w:val="24"/>
          <w:lang w:val="sr-Latn-RS"/>
        </w:rPr>
        <w:t>Ул. Сењач</w:t>
      </w:r>
      <w:r w:rsidR="00683B66">
        <w:rPr>
          <w:rFonts w:ascii="Times New Roman" w:hAnsi="Times New Roman"/>
          <w:sz w:val="24"/>
          <w:szCs w:val="24"/>
          <w:lang w:val="sr-Cyrl-RS"/>
        </w:rPr>
        <w:t>ка</w:t>
      </w:r>
      <w:r w:rsidR="004C460E" w:rsidRPr="00D45909">
        <w:rPr>
          <w:rFonts w:ascii="Times New Roman" w:hAnsi="Times New Roman"/>
          <w:sz w:val="24"/>
          <w:szCs w:val="24"/>
          <w:lang w:val="sr-Latn-RS"/>
        </w:rPr>
        <w:t xml:space="preserve"> бр. 44а</w:t>
      </w:r>
    </w:p>
    <w:p w:rsidR="00D45909" w:rsidRPr="00F73062" w:rsidRDefault="00D45909" w:rsidP="00F73062">
      <w:pPr>
        <w:pStyle w:val="NoSpacing"/>
        <w:jc w:val="center"/>
        <w:rPr>
          <w:rFonts w:ascii="Times New Roman" w:hAnsi="Times New Roman"/>
          <w:b/>
          <w:sz w:val="24"/>
          <w:szCs w:val="24"/>
          <w:lang w:val="sr-Latn-RS"/>
        </w:rPr>
      </w:pPr>
    </w:p>
    <w:p w:rsidR="00167647" w:rsidRPr="00A6740C" w:rsidRDefault="00167647" w:rsidP="005822F4">
      <w:pPr>
        <w:pStyle w:val="NoSpacing"/>
        <w:jc w:val="center"/>
        <w:rPr>
          <w:rFonts w:ascii="Times New Roman" w:hAnsi="Times New Roman"/>
          <w:b/>
          <w:sz w:val="24"/>
          <w:szCs w:val="24"/>
          <w:lang w:val="sr-Cyrl-CS"/>
        </w:rPr>
      </w:pPr>
      <w:r w:rsidRPr="00A6740C">
        <w:rPr>
          <w:rFonts w:ascii="Times New Roman" w:hAnsi="Times New Roman"/>
          <w:b/>
          <w:sz w:val="24"/>
          <w:szCs w:val="24"/>
          <w:lang w:val="sr-Cyrl-CS"/>
        </w:rPr>
        <w:t>О</w:t>
      </w:r>
      <w:r w:rsidRPr="00A6740C">
        <w:rPr>
          <w:rFonts w:ascii="Times New Roman" w:hAnsi="Times New Roman"/>
          <w:b/>
          <w:sz w:val="24"/>
          <w:szCs w:val="24"/>
        </w:rPr>
        <w:t xml:space="preserve"> </w:t>
      </w:r>
      <w:r w:rsidRPr="00A6740C">
        <w:rPr>
          <w:rFonts w:ascii="Times New Roman" w:hAnsi="Times New Roman"/>
          <w:b/>
          <w:sz w:val="24"/>
          <w:szCs w:val="24"/>
          <w:lang w:val="sr-Cyrl-CS"/>
        </w:rPr>
        <w:t>Г</w:t>
      </w:r>
      <w:r w:rsidRPr="00A6740C">
        <w:rPr>
          <w:rFonts w:ascii="Times New Roman" w:hAnsi="Times New Roman"/>
          <w:b/>
          <w:sz w:val="24"/>
          <w:szCs w:val="24"/>
        </w:rPr>
        <w:t xml:space="preserve"> </w:t>
      </w:r>
      <w:r w:rsidRPr="00A6740C">
        <w:rPr>
          <w:rFonts w:ascii="Times New Roman" w:hAnsi="Times New Roman"/>
          <w:b/>
          <w:sz w:val="24"/>
          <w:szCs w:val="24"/>
          <w:lang w:val="sr-Cyrl-CS"/>
        </w:rPr>
        <w:t>Л</w:t>
      </w:r>
      <w:r w:rsidRPr="00A6740C">
        <w:rPr>
          <w:rFonts w:ascii="Times New Roman" w:hAnsi="Times New Roman"/>
          <w:b/>
          <w:sz w:val="24"/>
          <w:szCs w:val="24"/>
        </w:rPr>
        <w:t xml:space="preserve"> </w:t>
      </w:r>
      <w:r w:rsidRPr="00A6740C">
        <w:rPr>
          <w:rFonts w:ascii="Times New Roman" w:hAnsi="Times New Roman"/>
          <w:b/>
          <w:sz w:val="24"/>
          <w:szCs w:val="24"/>
          <w:lang w:val="sr-Cyrl-CS"/>
        </w:rPr>
        <w:t>А</w:t>
      </w:r>
      <w:r w:rsidRPr="00A6740C">
        <w:rPr>
          <w:rFonts w:ascii="Times New Roman" w:hAnsi="Times New Roman"/>
          <w:b/>
          <w:sz w:val="24"/>
          <w:szCs w:val="24"/>
        </w:rPr>
        <w:t xml:space="preserve"> </w:t>
      </w:r>
      <w:r w:rsidRPr="00A6740C">
        <w:rPr>
          <w:rFonts w:ascii="Times New Roman" w:hAnsi="Times New Roman"/>
          <w:b/>
          <w:sz w:val="24"/>
          <w:szCs w:val="24"/>
          <w:lang w:val="sr-Cyrl-CS"/>
        </w:rPr>
        <w:t>Ш</w:t>
      </w:r>
      <w:r w:rsidRPr="00A6740C">
        <w:rPr>
          <w:rFonts w:ascii="Times New Roman" w:hAnsi="Times New Roman"/>
          <w:b/>
          <w:sz w:val="24"/>
          <w:szCs w:val="24"/>
        </w:rPr>
        <w:t xml:space="preserve"> </w:t>
      </w:r>
      <w:r w:rsidRPr="00A6740C">
        <w:rPr>
          <w:rFonts w:ascii="Times New Roman" w:hAnsi="Times New Roman"/>
          <w:b/>
          <w:sz w:val="24"/>
          <w:szCs w:val="24"/>
          <w:lang w:val="sr-Cyrl-CS"/>
        </w:rPr>
        <w:t>А</w:t>
      </w:r>
      <w:r w:rsidRPr="00A6740C">
        <w:rPr>
          <w:rFonts w:ascii="Times New Roman" w:hAnsi="Times New Roman"/>
          <w:b/>
          <w:sz w:val="24"/>
          <w:szCs w:val="24"/>
        </w:rPr>
        <w:t xml:space="preserve"> </w:t>
      </w:r>
      <w:r w:rsidRPr="00A6740C">
        <w:rPr>
          <w:rFonts w:ascii="Times New Roman" w:hAnsi="Times New Roman"/>
          <w:b/>
          <w:sz w:val="24"/>
          <w:szCs w:val="24"/>
          <w:lang w:val="sr-Cyrl-CS"/>
        </w:rPr>
        <w:t>В</w:t>
      </w:r>
      <w:r w:rsidRPr="00A6740C">
        <w:rPr>
          <w:rFonts w:ascii="Times New Roman" w:hAnsi="Times New Roman"/>
          <w:b/>
          <w:sz w:val="24"/>
          <w:szCs w:val="24"/>
        </w:rPr>
        <w:t xml:space="preserve"> </w:t>
      </w:r>
      <w:r w:rsidRPr="00A6740C">
        <w:rPr>
          <w:rFonts w:ascii="Times New Roman" w:hAnsi="Times New Roman"/>
          <w:b/>
          <w:sz w:val="24"/>
          <w:szCs w:val="24"/>
          <w:lang w:val="sr-Cyrl-CS"/>
        </w:rPr>
        <w:t>А</w:t>
      </w:r>
    </w:p>
    <w:p w:rsidR="007926D5" w:rsidRDefault="007926D5" w:rsidP="007926D5">
      <w:pPr>
        <w:pStyle w:val="NoSpacing"/>
        <w:jc w:val="center"/>
        <w:rPr>
          <w:rFonts w:ascii="Times New Roman" w:hAnsi="Times New Roman"/>
          <w:b/>
          <w:lang w:val="sr-Cyrl-RS"/>
        </w:rPr>
      </w:pPr>
      <w:r>
        <w:rPr>
          <w:rFonts w:ascii="Times New Roman" w:hAnsi="Times New Roman"/>
          <w:b/>
          <w:lang w:val="sr-Cyrl-RS"/>
        </w:rPr>
        <w:t>ДРУГУ ПРОДАЈУ</w:t>
      </w:r>
    </w:p>
    <w:p w:rsidR="00874838" w:rsidRDefault="00874838" w:rsidP="007926D5">
      <w:pPr>
        <w:pStyle w:val="NoSpacing"/>
        <w:jc w:val="center"/>
        <w:rPr>
          <w:rFonts w:ascii="Times New Roman" w:hAnsi="Times New Roman"/>
          <w:b/>
          <w:sz w:val="24"/>
          <w:szCs w:val="24"/>
        </w:rPr>
      </w:pPr>
    </w:p>
    <w:p w:rsidR="007926D5" w:rsidRDefault="007926D5" w:rsidP="007926D5">
      <w:pPr>
        <w:pStyle w:val="NoSpacing"/>
        <w:jc w:val="center"/>
        <w:rPr>
          <w:rFonts w:ascii="Times New Roman" w:hAnsi="Times New Roman"/>
          <w:b/>
          <w:sz w:val="24"/>
          <w:szCs w:val="24"/>
          <w:lang w:val="sr-Latn-RS"/>
        </w:rPr>
      </w:pPr>
      <w:r>
        <w:rPr>
          <w:rFonts w:ascii="Times New Roman" w:hAnsi="Times New Roman"/>
          <w:b/>
          <w:sz w:val="24"/>
          <w:szCs w:val="24"/>
        </w:rPr>
        <w:t xml:space="preserve">стечајног дужника </w:t>
      </w:r>
      <w:r w:rsidR="00D45909" w:rsidRPr="00A15EA9">
        <w:rPr>
          <w:rFonts w:ascii="Times New Roman" w:hAnsi="Times New Roman"/>
          <w:b/>
          <w:sz w:val="24"/>
          <w:szCs w:val="24"/>
          <w:lang w:val="sr-Latn-RS"/>
        </w:rPr>
        <w:t xml:space="preserve">Предузеће за производњу електронских уређаја и система </w:t>
      </w:r>
    </w:p>
    <w:p w:rsidR="00167647" w:rsidRPr="007926D5" w:rsidRDefault="00D45909" w:rsidP="007926D5">
      <w:pPr>
        <w:pStyle w:val="NoSpacing"/>
        <w:jc w:val="center"/>
        <w:rPr>
          <w:rFonts w:ascii="Times New Roman" w:hAnsi="Times New Roman"/>
          <w:b/>
          <w:sz w:val="24"/>
          <w:szCs w:val="24"/>
        </w:rPr>
      </w:pPr>
      <w:r w:rsidRPr="00A15EA9">
        <w:rPr>
          <w:rFonts w:ascii="Times New Roman" w:hAnsi="Times New Roman"/>
          <w:b/>
          <w:sz w:val="24"/>
          <w:szCs w:val="24"/>
          <w:lang w:val="sr-Latn-RS"/>
        </w:rPr>
        <w:t>КО</w:t>
      </w:r>
      <w:r w:rsidR="00683B66">
        <w:rPr>
          <w:rFonts w:ascii="Times New Roman" w:hAnsi="Times New Roman"/>
          <w:b/>
          <w:sz w:val="24"/>
          <w:szCs w:val="24"/>
          <w:lang w:val="sr-Latn-RS"/>
        </w:rPr>
        <w:t>МЕЛ д.о.о.  Београд, Ул. Сењачка</w:t>
      </w:r>
      <w:r w:rsidRPr="00A15EA9">
        <w:rPr>
          <w:rFonts w:ascii="Times New Roman" w:hAnsi="Times New Roman"/>
          <w:b/>
          <w:sz w:val="24"/>
          <w:szCs w:val="24"/>
          <w:lang w:val="sr-Latn-RS"/>
        </w:rPr>
        <w:t xml:space="preserve"> бр. 44а – у стечају</w:t>
      </w:r>
      <w:r>
        <w:rPr>
          <w:rFonts w:ascii="Times New Roman" w:hAnsi="Times New Roman"/>
          <w:b/>
          <w:sz w:val="24"/>
          <w:szCs w:val="24"/>
          <w:lang w:val="sr-Cyrl-RS"/>
        </w:rPr>
        <w:t xml:space="preserve"> (матични број</w:t>
      </w:r>
      <w:r w:rsidRPr="00B96359">
        <w:rPr>
          <w:rFonts w:ascii="Times New Roman" w:hAnsi="Times New Roman"/>
          <w:b/>
          <w:sz w:val="24"/>
          <w:szCs w:val="24"/>
          <w:lang w:val="sr-Cyrl-RS"/>
        </w:rPr>
        <w:t xml:space="preserve">: </w:t>
      </w:r>
      <w:r w:rsidRPr="00A15EA9">
        <w:rPr>
          <w:rFonts w:ascii="Times New Roman" w:hAnsi="Times New Roman"/>
          <w:b/>
          <w:sz w:val="24"/>
          <w:szCs w:val="24"/>
          <w:lang w:val="sr-Cyrl-RS"/>
        </w:rPr>
        <w:t>07429967</w:t>
      </w:r>
      <w:r>
        <w:rPr>
          <w:rFonts w:ascii="Times New Roman" w:hAnsi="Times New Roman"/>
          <w:b/>
          <w:sz w:val="24"/>
          <w:szCs w:val="24"/>
          <w:lang w:val="sr-Cyrl-RS"/>
        </w:rPr>
        <w:t>)</w:t>
      </w:r>
      <w:r w:rsidR="007926D5">
        <w:rPr>
          <w:rFonts w:ascii="Times New Roman" w:hAnsi="Times New Roman"/>
          <w:b/>
          <w:sz w:val="24"/>
          <w:szCs w:val="24"/>
          <w:lang w:val="sr-Cyrl-RS"/>
        </w:rPr>
        <w:t xml:space="preserve"> – КАО ПРАВНОГ ЛИЦА - </w:t>
      </w:r>
      <w:r w:rsidR="00265031">
        <w:rPr>
          <w:rFonts w:ascii="Times New Roman" w:hAnsi="Times New Roman"/>
          <w:b/>
          <w:sz w:val="24"/>
          <w:szCs w:val="24"/>
          <w:lang w:val="sr-Cyrl-CS"/>
        </w:rPr>
        <w:t>методом јавног надметања</w:t>
      </w:r>
    </w:p>
    <w:p w:rsidR="00D45909" w:rsidRDefault="00D45909" w:rsidP="00D45909">
      <w:pPr>
        <w:pStyle w:val="NoSpacing"/>
        <w:rPr>
          <w:rFonts w:ascii="Times New Roman" w:hAnsi="Times New Roman"/>
          <w:b/>
          <w:sz w:val="24"/>
          <w:szCs w:val="24"/>
          <w:lang w:val="sr-Cyrl-CS"/>
        </w:rPr>
      </w:pPr>
    </w:p>
    <w:p w:rsidR="00D45909" w:rsidRDefault="00D45909" w:rsidP="00D45909">
      <w:pPr>
        <w:pStyle w:val="NoSpacing"/>
        <w:rPr>
          <w:rFonts w:ascii="Times New Roman" w:hAnsi="Times New Roman"/>
          <w:b/>
          <w:sz w:val="24"/>
          <w:szCs w:val="24"/>
          <w:lang w:val="sr-Cyrl-RS"/>
        </w:rPr>
      </w:pPr>
      <w:r>
        <w:rPr>
          <w:rFonts w:ascii="Times New Roman" w:hAnsi="Times New Roman"/>
          <w:b/>
          <w:sz w:val="24"/>
          <w:szCs w:val="24"/>
          <w:lang w:val="sr-Cyrl-CS"/>
        </w:rPr>
        <w:t xml:space="preserve">Процењена вредност: </w:t>
      </w:r>
      <w:r w:rsidRPr="00D45909">
        <w:rPr>
          <w:rFonts w:ascii="Times New Roman" w:hAnsi="Times New Roman"/>
          <w:b/>
          <w:sz w:val="24"/>
          <w:szCs w:val="24"/>
          <w:lang w:val="sr-Cyrl-RS"/>
        </w:rPr>
        <w:t>121.410.900,00 РСД</w:t>
      </w:r>
      <w:r>
        <w:rPr>
          <w:rFonts w:ascii="Times New Roman" w:hAnsi="Times New Roman"/>
          <w:b/>
          <w:sz w:val="24"/>
          <w:szCs w:val="24"/>
          <w:lang w:val="sr-Cyrl-RS"/>
        </w:rPr>
        <w:t>;</w:t>
      </w:r>
    </w:p>
    <w:p w:rsidR="00D45909" w:rsidRDefault="00D45909" w:rsidP="00D45909">
      <w:pPr>
        <w:pStyle w:val="NoSpacing"/>
        <w:rPr>
          <w:rFonts w:ascii="Times New Roman" w:hAnsi="Times New Roman"/>
          <w:b/>
          <w:sz w:val="24"/>
          <w:szCs w:val="24"/>
          <w:lang w:val="sr-Cyrl-RS"/>
        </w:rPr>
      </w:pPr>
      <w:r>
        <w:rPr>
          <w:rFonts w:ascii="Times New Roman" w:hAnsi="Times New Roman"/>
          <w:b/>
          <w:sz w:val="24"/>
          <w:szCs w:val="24"/>
          <w:lang w:val="sr-Cyrl-RS"/>
        </w:rPr>
        <w:t>Почетна цена</w:t>
      </w:r>
      <w:r w:rsidR="007926D5">
        <w:rPr>
          <w:rFonts w:ascii="Times New Roman" w:hAnsi="Times New Roman"/>
          <w:b/>
          <w:sz w:val="24"/>
          <w:szCs w:val="24"/>
          <w:lang w:val="sr-Cyrl-RS"/>
        </w:rPr>
        <w:t xml:space="preserve"> на другој продаји износиће </w:t>
      </w:r>
      <w:r w:rsidR="00F315DB">
        <w:rPr>
          <w:rFonts w:ascii="Times New Roman" w:hAnsi="Times New Roman"/>
          <w:b/>
          <w:sz w:val="24"/>
          <w:szCs w:val="24"/>
          <w:lang w:val="sr-Cyrl-RS"/>
        </w:rPr>
        <w:t xml:space="preserve"> </w:t>
      </w:r>
      <w:r w:rsidR="007926D5">
        <w:rPr>
          <w:rFonts w:ascii="Times New Roman" w:hAnsi="Times New Roman"/>
          <w:b/>
          <w:sz w:val="24"/>
          <w:szCs w:val="24"/>
          <w:lang w:val="en-US"/>
        </w:rPr>
        <w:t>4</w:t>
      </w:r>
      <w:r w:rsidR="00265031">
        <w:rPr>
          <w:rFonts w:ascii="Times New Roman" w:hAnsi="Times New Roman"/>
          <w:b/>
          <w:sz w:val="24"/>
          <w:szCs w:val="24"/>
          <w:lang w:val="sr-Cyrl-RS"/>
        </w:rPr>
        <w:t>0% од процењене вредности</w:t>
      </w:r>
      <w:r>
        <w:rPr>
          <w:rFonts w:ascii="Times New Roman" w:hAnsi="Times New Roman"/>
          <w:b/>
          <w:sz w:val="24"/>
          <w:szCs w:val="24"/>
          <w:lang w:val="sr-Cyrl-RS"/>
        </w:rPr>
        <w:t>:</w:t>
      </w:r>
      <w:r w:rsidR="007926D5">
        <w:rPr>
          <w:rFonts w:ascii="Times New Roman" w:hAnsi="Times New Roman"/>
          <w:b/>
          <w:sz w:val="24"/>
          <w:szCs w:val="24"/>
          <w:lang w:val="sr-Cyrl-RS"/>
        </w:rPr>
        <w:t xml:space="preserve"> 48.564.360,00</w:t>
      </w:r>
      <w:r w:rsidR="00265031">
        <w:rPr>
          <w:rFonts w:ascii="Times New Roman" w:hAnsi="Times New Roman"/>
          <w:b/>
          <w:sz w:val="24"/>
          <w:szCs w:val="24"/>
          <w:lang w:val="sr-Cyrl-RS"/>
        </w:rPr>
        <w:t xml:space="preserve"> РСД; </w:t>
      </w:r>
    </w:p>
    <w:p w:rsidR="00D45909" w:rsidRDefault="00D45909" w:rsidP="00D45909">
      <w:pPr>
        <w:pStyle w:val="NoSpacing"/>
        <w:rPr>
          <w:rFonts w:ascii="Times New Roman" w:hAnsi="Times New Roman"/>
          <w:b/>
          <w:sz w:val="24"/>
          <w:szCs w:val="24"/>
          <w:lang w:val="sr-Cyrl-CS"/>
        </w:rPr>
      </w:pPr>
      <w:r>
        <w:rPr>
          <w:rFonts w:ascii="Times New Roman" w:hAnsi="Times New Roman"/>
          <w:b/>
          <w:sz w:val="24"/>
          <w:szCs w:val="24"/>
          <w:lang w:val="sr-Cyrl-RS"/>
        </w:rPr>
        <w:t xml:space="preserve">Износ депозита 20% од процењене вредности: </w:t>
      </w:r>
      <w:r w:rsidR="00265031">
        <w:rPr>
          <w:rFonts w:ascii="Times New Roman" w:hAnsi="Times New Roman"/>
          <w:b/>
          <w:sz w:val="24"/>
          <w:szCs w:val="24"/>
          <w:lang w:val="sr-Cyrl-RS"/>
        </w:rPr>
        <w:t>24.282.180 РСД.</w:t>
      </w:r>
    </w:p>
    <w:p w:rsidR="00D45909" w:rsidRDefault="00D45909" w:rsidP="00DD5883">
      <w:pPr>
        <w:pStyle w:val="NoSpacing"/>
        <w:jc w:val="center"/>
        <w:rPr>
          <w:rFonts w:ascii="Times New Roman" w:hAnsi="Times New Roman"/>
          <w:b/>
          <w:sz w:val="24"/>
          <w:szCs w:val="24"/>
          <w:lang w:val="sr-Cyrl-CS"/>
        </w:rPr>
      </w:pPr>
    </w:p>
    <w:p w:rsidR="00265031" w:rsidRDefault="00265031" w:rsidP="00265031">
      <w:pPr>
        <w:spacing w:after="0" w:line="240" w:lineRule="auto"/>
        <w:jc w:val="both"/>
        <w:rPr>
          <w:rFonts w:ascii="Times New Roman" w:hAnsi="Times New Roman"/>
          <w:b/>
          <w:sz w:val="24"/>
          <w:szCs w:val="24"/>
          <w:lang w:val="sr-Cyrl-RS"/>
        </w:rPr>
      </w:pPr>
      <w:r w:rsidRPr="00967847">
        <w:rPr>
          <w:rFonts w:ascii="Times New Roman" w:hAnsi="Times New Roman"/>
          <w:b/>
          <w:sz w:val="24"/>
          <w:szCs w:val="24"/>
          <w:lang w:val="sr-Cyrl-RS"/>
        </w:rPr>
        <w:t>Најважнија имовина стечајног дужника као правног лица</w:t>
      </w:r>
      <w:r>
        <w:rPr>
          <w:rFonts w:ascii="Times New Roman" w:hAnsi="Times New Roman"/>
          <w:b/>
          <w:sz w:val="24"/>
          <w:szCs w:val="24"/>
          <w:lang w:val="sr-Cyrl-RS"/>
        </w:rPr>
        <w:t>:</w:t>
      </w:r>
    </w:p>
    <w:p w:rsidR="00265031" w:rsidRDefault="00265031" w:rsidP="00265031">
      <w:pPr>
        <w:spacing w:after="0" w:line="240" w:lineRule="auto"/>
        <w:rPr>
          <w:rFonts w:ascii="Times New Roman" w:hAnsi="Times New Roman"/>
          <w:b/>
          <w:sz w:val="24"/>
          <w:szCs w:val="24"/>
          <w:lang w:val="sr-Cyrl-RS"/>
        </w:rPr>
      </w:pPr>
    </w:p>
    <w:p w:rsidR="00265031" w:rsidRPr="00265031" w:rsidRDefault="00265031" w:rsidP="00265031">
      <w:pPr>
        <w:spacing w:after="0" w:line="240" w:lineRule="auto"/>
        <w:rPr>
          <w:rFonts w:ascii="Times New Roman" w:hAnsi="Times New Roman"/>
          <w:lang w:val="sr-Cyrl-CS"/>
        </w:rPr>
      </w:pPr>
      <w:r w:rsidRPr="00265031">
        <w:rPr>
          <w:rFonts w:ascii="Times New Roman" w:hAnsi="Times New Roman"/>
          <w:lang w:val="sr-Cyrl-CS"/>
        </w:rPr>
        <w:t>Земљиште</w:t>
      </w:r>
    </w:p>
    <w:p w:rsidR="00265031" w:rsidRPr="00265031" w:rsidRDefault="00265031" w:rsidP="00265031">
      <w:pPr>
        <w:spacing w:after="0" w:line="240" w:lineRule="auto"/>
        <w:rPr>
          <w:rFonts w:ascii="Times New Roman" w:hAnsi="Times New Roman"/>
          <w:lang w:val="sr-Cyrl-CS"/>
        </w:rPr>
      </w:pPr>
    </w:p>
    <w:tbl>
      <w:tblPr>
        <w:tblStyle w:val="TableGrid"/>
        <w:tblW w:w="9895" w:type="dxa"/>
        <w:tblLook w:val="01E0" w:firstRow="1" w:lastRow="1" w:firstColumn="1" w:lastColumn="1" w:noHBand="0" w:noVBand="0"/>
      </w:tblPr>
      <w:tblGrid>
        <w:gridCol w:w="1188"/>
        <w:gridCol w:w="1291"/>
        <w:gridCol w:w="2129"/>
        <w:gridCol w:w="1800"/>
        <w:gridCol w:w="3487"/>
      </w:tblGrid>
      <w:tr w:rsidR="00265031" w:rsidRPr="00265031" w:rsidTr="00265031">
        <w:tc>
          <w:tcPr>
            <w:tcW w:w="1188" w:type="dxa"/>
          </w:tcPr>
          <w:p w:rsidR="00265031" w:rsidRPr="00265031" w:rsidRDefault="00265031" w:rsidP="00F42897">
            <w:pPr>
              <w:spacing w:line="240" w:lineRule="auto"/>
              <w:rPr>
                <w:sz w:val="22"/>
                <w:szCs w:val="22"/>
                <w:lang w:val="sr-Cyrl-CS"/>
              </w:rPr>
            </w:pPr>
            <w:r w:rsidRPr="00265031">
              <w:rPr>
                <w:sz w:val="22"/>
                <w:szCs w:val="22"/>
                <w:lang w:val="sr-Cyrl-CS"/>
              </w:rPr>
              <w:t>КП</w:t>
            </w:r>
          </w:p>
        </w:tc>
        <w:tc>
          <w:tcPr>
            <w:tcW w:w="1291" w:type="dxa"/>
          </w:tcPr>
          <w:p w:rsidR="00265031" w:rsidRPr="00265031" w:rsidRDefault="00265031" w:rsidP="00F42897">
            <w:pPr>
              <w:spacing w:line="240" w:lineRule="auto"/>
              <w:rPr>
                <w:sz w:val="22"/>
                <w:szCs w:val="22"/>
                <w:lang w:val="sr-Cyrl-CS"/>
              </w:rPr>
            </w:pPr>
            <w:r w:rsidRPr="00265031">
              <w:rPr>
                <w:sz w:val="22"/>
                <w:szCs w:val="22"/>
                <w:lang w:val="sr-Cyrl-CS"/>
              </w:rPr>
              <w:t>Површина  у м2</w:t>
            </w:r>
          </w:p>
        </w:tc>
        <w:tc>
          <w:tcPr>
            <w:tcW w:w="2129" w:type="dxa"/>
          </w:tcPr>
          <w:p w:rsidR="00265031" w:rsidRPr="00265031" w:rsidRDefault="00265031" w:rsidP="00F42897">
            <w:pPr>
              <w:spacing w:line="240" w:lineRule="auto"/>
              <w:rPr>
                <w:sz w:val="22"/>
                <w:szCs w:val="22"/>
                <w:lang w:val="sr-Cyrl-CS"/>
              </w:rPr>
            </w:pPr>
            <w:r w:rsidRPr="00265031">
              <w:rPr>
                <w:sz w:val="22"/>
                <w:szCs w:val="22"/>
                <w:lang w:val="sr-Cyrl-CS"/>
              </w:rPr>
              <w:t>Врста права</w:t>
            </w:r>
          </w:p>
        </w:tc>
        <w:tc>
          <w:tcPr>
            <w:tcW w:w="1800" w:type="dxa"/>
          </w:tcPr>
          <w:p w:rsidR="00265031" w:rsidRPr="00265031" w:rsidRDefault="00265031" w:rsidP="00F42897">
            <w:pPr>
              <w:spacing w:line="240" w:lineRule="auto"/>
              <w:rPr>
                <w:sz w:val="22"/>
                <w:szCs w:val="22"/>
                <w:lang w:val="sr-Cyrl-CS"/>
              </w:rPr>
            </w:pPr>
            <w:r w:rsidRPr="00265031">
              <w:rPr>
                <w:sz w:val="22"/>
                <w:szCs w:val="22"/>
                <w:lang w:val="sr-Cyrl-CS"/>
              </w:rPr>
              <w:t>Облик својине</w:t>
            </w:r>
          </w:p>
        </w:tc>
        <w:tc>
          <w:tcPr>
            <w:tcW w:w="3487" w:type="dxa"/>
          </w:tcPr>
          <w:p w:rsidR="00265031" w:rsidRPr="00265031" w:rsidRDefault="00265031" w:rsidP="00F42897">
            <w:pPr>
              <w:spacing w:line="240" w:lineRule="auto"/>
              <w:rPr>
                <w:sz w:val="22"/>
                <w:szCs w:val="22"/>
                <w:lang w:val="sr-Cyrl-CS"/>
              </w:rPr>
            </w:pPr>
            <w:r w:rsidRPr="00265031">
              <w:rPr>
                <w:sz w:val="22"/>
                <w:szCs w:val="22"/>
                <w:lang w:val="sr-Cyrl-CS"/>
              </w:rPr>
              <w:t>Удео КОМЕЛ у стечају</w:t>
            </w:r>
          </w:p>
        </w:tc>
      </w:tr>
      <w:tr w:rsidR="00265031" w:rsidRPr="00265031" w:rsidTr="00265031">
        <w:tc>
          <w:tcPr>
            <w:tcW w:w="1188" w:type="dxa"/>
          </w:tcPr>
          <w:p w:rsidR="00265031" w:rsidRPr="00265031" w:rsidRDefault="00265031" w:rsidP="00F42897">
            <w:pPr>
              <w:spacing w:line="240" w:lineRule="auto"/>
              <w:rPr>
                <w:sz w:val="22"/>
                <w:szCs w:val="22"/>
                <w:lang w:val="sr-Cyrl-CS"/>
              </w:rPr>
            </w:pPr>
            <w:r w:rsidRPr="00265031">
              <w:rPr>
                <w:sz w:val="22"/>
                <w:szCs w:val="22"/>
                <w:lang w:val="sr-Cyrl-CS"/>
              </w:rPr>
              <w:t>11205/1</w:t>
            </w:r>
          </w:p>
        </w:tc>
        <w:tc>
          <w:tcPr>
            <w:tcW w:w="1291" w:type="dxa"/>
          </w:tcPr>
          <w:p w:rsidR="00265031" w:rsidRPr="00265031" w:rsidRDefault="00265031" w:rsidP="00F42897">
            <w:pPr>
              <w:spacing w:line="240" w:lineRule="auto"/>
              <w:jc w:val="right"/>
              <w:rPr>
                <w:sz w:val="22"/>
                <w:szCs w:val="22"/>
                <w:lang w:val="sr-Cyrl-CS"/>
              </w:rPr>
            </w:pPr>
            <w:r w:rsidRPr="00265031">
              <w:rPr>
                <w:sz w:val="22"/>
                <w:szCs w:val="22"/>
                <w:lang w:val="sr-Cyrl-CS"/>
              </w:rPr>
              <w:t>1728</w:t>
            </w:r>
          </w:p>
        </w:tc>
        <w:tc>
          <w:tcPr>
            <w:tcW w:w="2129" w:type="dxa"/>
          </w:tcPr>
          <w:p w:rsidR="00265031" w:rsidRPr="00265031" w:rsidRDefault="00265031" w:rsidP="00F42897">
            <w:pPr>
              <w:spacing w:line="240" w:lineRule="auto"/>
              <w:rPr>
                <w:sz w:val="22"/>
                <w:szCs w:val="22"/>
                <w:lang w:val="sr-Cyrl-CS"/>
              </w:rPr>
            </w:pPr>
            <w:r w:rsidRPr="00265031">
              <w:rPr>
                <w:sz w:val="22"/>
                <w:szCs w:val="22"/>
                <w:lang w:val="sr-Cyrl-CS"/>
              </w:rPr>
              <w:t>Право коришћења</w:t>
            </w:r>
          </w:p>
        </w:tc>
        <w:tc>
          <w:tcPr>
            <w:tcW w:w="1800" w:type="dxa"/>
          </w:tcPr>
          <w:p w:rsidR="00265031" w:rsidRPr="00265031" w:rsidRDefault="00265031" w:rsidP="00F42897">
            <w:pPr>
              <w:spacing w:line="240" w:lineRule="auto"/>
              <w:rPr>
                <w:sz w:val="22"/>
                <w:szCs w:val="22"/>
                <w:lang w:val="sr-Cyrl-CS"/>
              </w:rPr>
            </w:pPr>
            <w:r w:rsidRPr="00265031">
              <w:rPr>
                <w:sz w:val="22"/>
                <w:szCs w:val="22"/>
                <w:lang w:val="sr-Cyrl-CS"/>
              </w:rPr>
              <w:t xml:space="preserve">Државна  РС </w:t>
            </w:r>
          </w:p>
        </w:tc>
        <w:tc>
          <w:tcPr>
            <w:tcW w:w="3487" w:type="dxa"/>
          </w:tcPr>
          <w:p w:rsidR="00265031" w:rsidRPr="00265031" w:rsidRDefault="00265031" w:rsidP="00F42897">
            <w:pPr>
              <w:spacing w:line="240" w:lineRule="auto"/>
              <w:jc w:val="center"/>
              <w:rPr>
                <w:sz w:val="22"/>
                <w:szCs w:val="22"/>
                <w:lang w:val="sr-Cyrl-CS"/>
              </w:rPr>
            </w:pPr>
            <w:r w:rsidRPr="00265031">
              <w:rPr>
                <w:sz w:val="22"/>
                <w:szCs w:val="22"/>
                <w:lang w:val="sr-Cyrl-CS"/>
              </w:rPr>
              <w:t>717/4800</w:t>
            </w:r>
          </w:p>
        </w:tc>
      </w:tr>
      <w:tr w:rsidR="00265031" w:rsidRPr="00265031" w:rsidTr="00265031">
        <w:tc>
          <w:tcPr>
            <w:tcW w:w="1188" w:type="dxa"/>
          </w:tcPr>
          <w:p w:rsidR="00265031" w:rsidRPr="00265031" w:rsidRDefault="00265031" w:rsidP="00F42897">
            <w:pPr>
              <w:spacing w:line="240" w:lineRule="auto"/>
              <w:rPr>
                <w:sz w:val="22"/>
                <w:szCs w:val="22"/>
                <w:lang w:val="sr-Cyrl-CS"/>
              </w:rPr>
            </w:pPr>
            <w:r w:rsidRPr="00265031">
              <w:rPr>
                <w:sz w:val="22"/>
                <w:szCs w:val="22"/>
                <w:lang w:val="sr-Cyrl-CS"/>
              </w:rPr>
              <w:t>11205/2</w:t>
            </w:r>
          </w:p>
        </w:tc>
        <w:tc>
          <w:tcPr>
            <w:tcW w:w="1291" w:type="dxa"/>
          </w:tcPr>
          <w:p w:rsidR="00265031" w:rsidRPr="00265031" w:rsidRDefault="00265031" w:rsidP="00F42897">
            <w:pPr>
              <w:spacing w:line="240" w:lineRule="auto"/>
              <w:jc w:val="right"/>
              <w:rPr>
                <w:sz w:val="22"/>
                <w:szCs w:val="22"/>
                <w:lang w:val="sr-Cyrl-CS"/>
              </w:rPr>
            </w:pPr>
            <w:r w:rsidRPr="00265031">
              <w:rPr>
                <w:sz w:val="22"/>
                <w:szCs w:val="22"/>
                <w:lang w:val="sr-Cyrl-CS"/>
              </w:rPr>
              <w:t>797</w:t>
            </w:r>
          </w:p>
        </w:tc>
        <w:tc>
          <w:tcPr>
            <w:tcW w:w="2129" w:type="dxa"/>
          </w:tcPr>
          <w:p w:rsidR="00265031" w:rsidRPr="00265031" w:rsidRDefault="00265031" w:rsidP="00F42897">
            <w:pPr>
              <w:spacing w:line="240" w:lineRule="auto"/>
              <w:rPr>
                <w:sz w:val="22"/>
                <w:szCs w:val="22"/>
                <w:lang w:val="sr-Cyrl-CS"/>
              </w:rPr>
            </w:pPr>
            <w:r w:rsidRPr="00265031">
              <w:rPr>
                <w:sz w:val="22"/>
                <w:szCs w:val="22"/>
                <w:lang w:val="sr-Cyrl-CS"/>
              </w:rPr>
              <w:t>Право коришћења</w:t>
            </w:r>
          </w:p>
        </w:tc>
        <w:tc>
          <w:tcPr>
            <w:tcW w:w="1800" w:type="dxa"/>
          </w:tcPr>
          <w:p w:rsidR="00265031" w:rsidRPr="00265031" w:rsidRDefault="00265031" w:rsidP="00F42897">
            <w:pPr>
              <w:spacing w:line="240" w:lineRule="auto"/>
              <w:rPr>
                <w:sz w:val="22"/>
                <w:szCs w:val="22"/>
                <w:lang w:val="sr-Cyrl-CS"/>
              </w:rPr>
            </w:pPr>
            <w:r w:rsidRPr="00265031">
              <w:rPr>
                <w:sz w:val="22"/>
                <w:szCs w:val="22"/>
                <w:lang w:val="sr-Cyrl-CS"/>
              </w:rPr>
              <w:t xml:space="preserve">Државна  РС </w:t>
            </w:r>
          </w:p>
        </w:tc>
        <w:tc>
          <w:tcPr>
            <w:tcW w:w="3487" w:type="dxa"/>
          </w:tcPr>
          <w:p w:rsidR="00265031" w:rsidRPr="00265031" w:rsidRDefault="00265031" w:rsidP="00F42897">
            <w:pPr>
              <w:spacing w:line="240" w:lineRule="auto"/>
              <w:jc w:val="center"/>
              <w:rPr>
                <w:sz w:val="22"/>
                <w:szCs w:val="22"/>
                <w:lang w:val="sr-Cyrl-CS"/>
              </w:rPr>
            </w:pPr>
            <w:r w:rsidRPr="00265031">
              <w:rPr>
                <w:sz w:val="22"/>
                <w:szCs w:val="22"/>
                <w:lang w:val="sr-Cyrl-CS"/>
              </w:rPr>
              <w:t>717/4800</w:t>
            </w:r>
          </w:p>
        </w:tc>
      </w:tr>
    </w:tbl>
    <w:p w:rsidR="00265031" w:rsidRPr="00265031" w:rsidRDefault="00265031" w:rsidP="00265031">
      <w:pPr>
        <w:spacing w:after="0" w:line="240" w:lineRule="auto"/>
        <w:rPr>
          <w:rFonts w:ascii="Times New Roman" w:hAnsi="Times New Roman"/>
          <w:lang w:val="sr-Cyrl-CS"/>
        </w:rPr>
      </w:pPr>
    </w:p>
    <w:p w:rsidR="00265031" w:rsidRPr="00265031" w:rsidRDefault="00265031" w:rsidP="00265031">
      <w:pPr>
        <w:spacing w:after="0" w:line="240" w:lineRule="auto"/>
        <w:rPr>
          <w:rFonts w:ascii="Times New Roman" w:hAnsi="Times New Roman"/>
          <w:lang w:val="sr-Cyrl-CS"/>
        </w:rPr>
      </w:pPr>
      <w:r w:rsidRPr="00265031">
        <w:rPr>
          <w:rFonts w:ascii="Times New Roman" w:hAnsi="Times New Roman"/>
          <w:lang w:val="sr-Cyrl-CS"/>
        </w:rPr>
        <w:t>Објекат бр 7- -Породична стамбена зграда, уписано на кп 11205/1 у ЛН 6206</w:t>
      </w:r>
    </w:p>
    <w:p w:rsidR="00265031" w:rsidRPr="00265031" w:rsidRDefault="00265031" w:rsidP="00265031">
      <w:pPr>
        <w:spacing w:after="0" w:line="240" w:lineRule="auto"/>
        <w:rPr>
          <w:rFonts w:ascii="Times New Roman" w:hAnsi="Times New Roman"/>
          <w:lang w:val="sr-Cyrl-CS"/>
        </w:rPr>
      </w:pPr>
    </w:p>
    <w:tbl>
      <w:tblPr>
        <w:tblStyle w:val="TableGrid"/>
        <w:tblW w:w="9895" w:type="dxa"/>
        <w:tblLook w:val="01E0" w:firstRow="1" w:lastRow="1" w:firstColumn="1" w:lastColumn="1" w:noHBand="0" w:noVBand="0"/>
      </w:tblPr>
      <w:tblGrid>
        <w:gridCol w:w="1368"/>
        <w:gridCol w:w="1800"/>
        <w:gridCol w:w="1086"/>
        <w:gridCol w:w="1254"/>
        <w:gridCol w:w="861"/>
        <w:gridCol w:w="3526"/>
      </w:tblGrid>
      <w:tr w:rsidR="00265031" w:rsidRPr="00265031" w:rsidTr="00265031">
        <w:tc>
          <w:tcPr>
            <w:tcW w:w="1368" w:type="dxa"/>
          </w:tcPr>
          <w:p w:rsidR="00265031" w:rsidRPr="00265031" w:rsidRDefault="00265031" w:rsidP="00F42897">
            <w:pPr>
              <w:spacing w:line="240" w:lineRule="auto"/>
              <w:rPr>
                <w:sz w:val="22"/>
                <w:szCs w:val="22"/>
                <w:lang w:val="sr-Cyrl-CS"/>
              </w:rPr>
            </w:pPr>
            <w:r w:rsidRPr="00265031">
              <w:rPr>
                <w:sz w:val="22"/>
                <w:szCs w:val="22"/>
                <w:lang w:val="sr-Cyrl-CS"/>
              </w:rPr>
              <w:t>Бр објекта</w:t>
            </w:r>
          </w:p>
        </w:tc>
        <w:tc>
          <w:tcPr>
            <w:tcW w:w="1800" w:type="dxa"/>
          </w:tcPr>
          <w:p w:rsidR="00265031" w:rsidRPr="00265031" w:rsidRDefault="00265031" w:rsidP="00F42897">
            <w:pPr>
              <w:spacing w:line="240" w:lineRule="auto"/>
              <w:rPr>
                <w:sz w:val="22"/>
                <w:szCs w:val="22"/>
                <w:lang w:val="sr-Cyrl-CS"/>
              </w:rPr>
            </w:pPr>
            <w:r w:rsidRPr="00265031">
              <w:rPr>
                <w:sz w:val="22"/>
                <w:szCs w:val="22"/>
                <w:lang w:val="sr-Cyrl-CS"/>
              </w:rPr>
              <w:t>Површина  под објектом</w:t>
            </w:r>
          </w:p>
        </w:tc>
        <w:tc>
          <w:tcPr>
            <w:tcW w:w="1086" w:type="dxa"/>
          </w:tcPr>
          <w:p w:rsidR="00265031" w:rsidRPr="00265031" w:rsidRDefault="00265031" w:rsidP="00F42897">
            <w:pPr>
              <w:spacing w:line="240" w:lineRule="auto"/>
              <w:rPr>
                <w:sz w:val="22"/>
                <w:szCs w:val="22"/>
                <w:lang w:val="sr-Cyrl-CS"/>
              </w:rPr>
            </w:pPr>
            <w:r w:rsidRPr="00265031">
              <w:rPr>
                <w:sz w:val="22"/>
                <w:szCs w:val="22"/>
                <w:lang w:val="sr-Cyrl-CS"/>
              </w:rPr>
              <w:t>Врста права</w:t>
            </w:r>
          </w:p>
        </w:tc>
        <w:tc>
          <w:tcPr>
            <w:tcW w:w="1254" w:type="dxa"/>
          </w:tcPr>
          <w:p w:rsidR="00265031" w:rsidRPr="00265031" w:rsidRDefault="00265031" w:rsidP="00F42897">
            <w:pPr>
              <w:spacing w:line="240" w:lineRule="auto"/>
              <w:rPr>
                <w:sz w:val="22"/>
                <w:szCs w:val="22"/>
                <w:lang w:val="sr-Cyrl-CS"/>
              </w:rPr>
            </w:pPr>
            <w:r w:rsidRPr="00265031">
              <w:rPr>
                <w:sz w:val="22"/>
                <w:szCs w:val="22"/>
                <w:lang w:val="sr-Cyrl-CS"/>
              </w:rPr>
              <w:t>Облик својине</w:t>
            </w:r>
          </w:p>
        </w:tc>
        <w:tc>
          <w:tcPr>
            <w:tcW w:w="861" w:type="dxa"/>
          </w:tcPr>
          <w:p w:rsidR="00265031" w:rsidRPr="00265031" w:rsidRDefault="00265031" w:rsidP="00F42897">
            <w:pPr>
              <w:spacing w:line="240" w:lineRule="auto"/>
              <w:rPr>
                <w:sz w:val="22"/>
                <w:szCs w:val="22"/>
                <w:lang w:val="sr-Cyrl-CS"/>
              </w:rPr>
            </w:pPr>
            <w:r w:rsidRPr="00265031">
              <w:rPr>
                <w:sz w:val="22"/>
                <w:szCs w:val="22"/>
                <w:lang w:val="sr-Cyrl-CS"/>
              </w:rPr>
              <w:t>Удео</w:t>
            </w:r>
          </w:p>
        </w:tc>
        <w:tc>
          <w:tcPr>
            <w:tcW w:w="3526" w:type="dxa"/>
          </w:tcPr>
          <w:p w:rsidR="00265031" w:rsidRPr="00265031" w:rsidRDefault="00265031" w:rsidP="00F42897">
            <w:pPr>
              <w:spacing w:line="240" w:lineRule="auto"/>
              <w:jc w:val="center"/>
              <w:rPr>
                <w:sz w:val="22"/>
                <w:szCs w:val="22"/>
                <w:lang w:val="sr-Cyrl-CS"/>
              </w:rPr>
            </w:pPr>
            <w:r w:rsidRPr="00265031">
              <w:rPr>
                <w:sz w:val="22"/>
                <w:szCs w:val="22"/>
                <w:lang w:val="sr-Cyrl-CS"/>
              </w:rPr>
              <w:t>Носилац права</w:t>
            </w:r>
          </w:p>
        </w:tc>
      </w:tr>
      <w:tr w:rsidR="00265031" w:rsidRPr="00265031" w:rsidTr="00265031">
        <w:tc>
          <w:tcPr>
            <w:tcW w:w="1368" w:type="dxa"/>
          </w:tcPr>
          <w:p w:rsidR="00265031" w:rsidRPr="00265031" w:rsidRDefault="00265031" w:rsidP="00F42897">
            <w:pPr>
              <w:spacing w:line="240" w:lineRule="auto"/>
              <w:rPr>
                <w:sz w:val="22"/>
                <w:szCs w:val="22"/>
                <w:lang w:val="sr-Cyrl-CS"/>
              </w:rPr>
            </w:pPr>
            <w:r w:rsidRPr="00265031">
              <w:rPr>
                <w:sz w:val="22"/>
                <w:szCs w:val="22"/>
                <w:lang w:val="sr-Cyrl-CS"/>
              </w:rPr>
              <w:t>11205/1</w:t>
            </w:r>
          </w:p>
        </w:tc>
        <w:tc>
          <w:tcPr>
            <w:tcW w:w="1800" w:type="dxa"/>
          </w:tcPr>
          <w:p w:rsidR="00265031" w:rsidRPr="00265031" w:rsidRDefault="00265031" w:rsidP="00F42897">
            <w:pPr>
              <w:spacing w:line="240" w:lineRule="auto"/>
              <w:jc w:val="right"/>
              <w:rPr>
                <w:sz w:val="22"/>
                <w:szCs w:val="22"/>
                <w:lang w:val="sr-Cyrl-CS"/>
              </w:rPr>
            </w:pPr>
            <w:r w:rsidRPr="00265031">
              <w:rPr>
                <w:sz w:val="22"/>
                <w:szCs w:val="22"/>
                <w:lang w:val="sr-Cyrl-CS"/>
              </w:rPr>
              <w:t>671м2</w:t>
            </w:r>
          </w:p>
        </w:tc>
        <w:tc>
          <w:tcPr>
            <w:tcW w:w="1086" w:type="dxa"/>
          </w:tcPr>
          <w:p w:rsidR="00265031" w:rsidRPr="00265031" w:rsidRDefault="00265031" w:rsidP="00F42897">
            <w:pPr>
              <w:spacing w:line="240" w:lineRule="auto"/>
              <w:rPr>
                <w:sz w:val="22"/>
                <w:szCs w:val="22"/>
                <w:lang w:val="sr-Cyrl-CS"/>
              </w:rPr>
            </w:pPr>
            <w:r w:rsidRPr="00265031">
              <w:rPr>
                <w:sz w:val="22"/>
                <w:szCs w:val="22"/>
                <w:lang w:val="sr-Cyrl-CS"/>
              </w:rPr>
              <w:t>држалац</w:t>
            </w:r>
          </w:p>
        </w:tc>
        <w:tc>
          <w:tcPr>
            <w:tcW w:w="1254" w:type="dxa"/>
          </w:tcPr>
          <w:p w:rsidR="00265031" w:rsidRPr="00265031" w:rsidRDefault="00265031" w:rsidP="00F42897">
            <w:pPr>
              <w:spacing w:line="240" w:lineRule="auto"/>
              <w:rPr>
                <w:sz w:val="22"/>
                <w:szCs w:val="22"/>
                <w:lang w:val="sr-Cyrl-CS"/>
              </w:rPr>
            </w:pPr>
            <w:r w:rsidRPr="00265031">
              <w:rPr>
                <w:sz w:val="22"/>
                <w:szCs w:val="22"/>
                <w:lang w:val="sr-Cyrl-CS"/>
              </w:rPr>
              <w:t xml:space="preserve">приватна </w:t>
            </w:r>
          </w:p>
        </w:tc>
        <w:tc>
          <w:tcPr>
            <w:tcW w:w="861" w:type="dxa"/>
          </w:tcPr>
          <w:p w:rsidR="00265031" w:rsidRPr="00265031" w:rsidRDefault="00265031" w:rsidP="00F42897">
            <w:pPr>
              <w:spacing w:line="240" w:lineRule="auto"/>
              <w:jc w:val="center"/>
              <w:rPr>
                <w:sz w:val="22"/>
                <w:szCs w:val="22"/>
                <w:lang w:val="sr-Cyrl-CS"/>
              </w:rPr>
            </w:pPr>
            <w:r w:rsidRPr="00265031">
              <w:rPr>
                <w:sz w:val="22"/>
                <w:szCs w:val="22"/>
                <w:lang w:val="sr-Cyrl-CS"/>
              </w:rPr>
              <w:t>1/1</w:t>
            </w:r>
          </w:p>
        </w:tc>
        <w:tc>
          <w:tcPr>
            <w:tcW w:w="3526" w:type="dxa"/>
          </w:tcPr>
          <w:p w:rsidR="00265031" w:rsidRPr="00265031" w:rsidRDefault="00265031" w:rsidP="00F42897">
            <w:pPr>
              <w:spacing w:line="240" w:lineRule="auto"/>
              <w:jc w:val="center"/>
              <w:rPr>
                <w:sz w:val="22"/>
                <w:szCs w:val="22"/>
                <w:lang w:val="sr-Cyrl-CS"/>
              </w:rPr>
            </w:pPr>
            <w:r w:rsidRPr="00265031">
              <w:rPr>
                <w:sz w:val="22"/>
                <w:szCs w:val="22"/>
                <w:lang w:val="sr-Cyrl-CS"/>
              </w:rPr>
              <w:t>Власник односно држалац није утврђен</w:t>
            </w:r>
          </w:p>
        </w:tc>
      </w:tr>
    </w:tbl>
    <w:p w:rsidR="00265031" w:rsidRPr="00265031" w:rsidRDefault="00265031" w:rsidP="00265031">
      <w:pPr>
        <w:spacing w:after="0" w:line="240" w:lineRule="auto"/>
        <w:rPr>
          <w:rFonts w:ascii="Times New Roman" w:hAnsi="Times New Roman"/>
          <w:lang w:val="sr-Cyrl-CS"/>
        </w:rPr>
      </w:pPr>
    </w:p>
    <w:p w:rsidR="003F1A8F" w:rsidRDefault="003F1A8F" w:rsidP="003F1A8F">
      <w:pPr>
        <w:spacing w:after="0" w:line="240" w:lineRule="auto"/>
        <w:rPr>
          <w:rFonts w:ascii="Times New Roman" w:hAnsi="Times New Roman"/>
          <w:sz w:val="24"/>
          <w:szCs w:val="24"/>
          <w:lang w:val="sr-Cyrl-CS" w:eastAsia="en-US"/>
        </w:rPr>
      </w:pPr>
      <w:r>
        <w:rPr>
          <w:rFonts w:ascii="Times New Roman" w:hAnsi="Times New Roman"/>
          <w:sz w:val="24"/>
          <w:szCs w:val="24"/>
          <w:lang w:val="sr-Cyrl-CS"/>
        </w:rPr>
        <w:t>Објекат бр 7- површине којима располаже КОМЕЛ У СТЕЧАЈУ</w:t>
      </w:r>
    </w:p>
    <w:p w:rsidR="003F1A8F" w:rsidRDefault="003F1A8F" w:rsidP="003F1A8F">
      <w:pPr>
        <w:spacing w:after="0" w:line="240" w:lineRule="auto"/>
        <w:rPr>
          <w:rFonts w:ascii="Times New Roman" w:hAnsi="Times New Roman"/>
          <w:sz w:val="24"/>
          <w:szCs w:val="24"/>
          <w:lang w:val="sr-Cyrl-CS"/>
        </w:rPr>
      </w:pPr>
    </w:p>
    <w:p w:rsidR="003F1A8F" w:rsidRDefault="003F1A8F" w:rsidP="003F1A8F">
      <w:pPr>
        <w:numPr>
          <w:ilvl w:val="0"/>
          <w:numId w:val="17"/>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Доњи ниво објекта:.............................</w:t>
      </w:r>
      <w:r>
        <w:rPr>
          <w:rFonts w:ascii="Times New Roman" w:hAnsi="Times New Roman"/>
          <w:sz w:val="24"/>
          <w:szCs w:val="24"/>
          <w:lang w:val="sr-Cyrl-CS"/>
        </w:rPr>
        <w:t xml:space="preserve"> </w:t>
      </w:r>
      <w:r>
        <w:rPr>
          <w:rFonts w:ascii="Times New Roman" w:hAnsi="Times New Roman"/>
          <w:sz w:val="24"/>
          <w:szCs w:val="24"/>
          <w:lang w:val="sr-Cyrl-RS"/>
        </w:rPr>
        <w:t>209,</w:t>
      </w:r>
      <w:r>
        <w:rPr>
          <w:rFonts w:ascii="Times New Roman" w:hAnsi="Times New Roman"/>
          <w:sz w:val="24"/>
          <w:szCs w:val="24"/>
          <w:lang w:val="sr-Cyrl-CS"/>
        </w:rPr>
        <w:t>00</w:t>
      </w:r>
      <w:r>
        <w:rPr>
          <w:rFonts w:ascii="Times New Roman" w:hAnsi="Times New Roman"/>
          <w:sz w:val="24"/>
          <w:szCs w:val="24"/>
          <w:lang w:val="sr-Cyrl-RS"/>
        </w:rPr>
        <w:t>м2</w:t>
      </w:r>
    </w:p>
    <w:p w:rsidR="003F1A8F" w:rsidRDefault="003F1A8F" w:rsidP="003F1A8F">
      <w:pPr>
        <w:numPr>
          <w:ilvl w:val="0"/>
          <w:numId w:val="17"/>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Горњи иво објекта...............................507,00м2</w:t>
      </w:r>
    </w:p>
    <w:p w:rsidR="003F1A8F" w:rsidRDefault="003F1A8F" w:rsidP="003F1A8F">
      <w:pPr>
        <w:spacing w:after="0" w:line="240" w:lineRule="auto"/>
        <w:ind w:left="720"/>
        <w:jc w:val="both"/>
        <w:rPr>
          <w:rFonts w:ascii="Times New Roman" w:hAnsi="Times New Roman"/>
          <w:sz w:val="24"/>
          <w:szCs w:val="24"/>
          <w:u w:val="single"/>
          <w:lang w:val="sr-Cyrl-RS"/>
        </w:rPr>
      </w:pPr>
      <w:r>
        <w:rPr>
          <w:rFonts w:ascii="Times New Roman" w:hAnsi="Times New Roman"/>
          <w:sz w:val="24"/>
          <w:szCs w:val="24"/>
          <w:u w:val="single"/>
          <w:lang w:val="sr-Cyrl-RS"/>
        </w:rPr>
        <w:t>Површина пословног простора:.......</w:t>
      </w:r>
      <w:r>
        <w:rPr>
          <w:rFonts w:ascii="Times New Roman" w:hAnsi="Times New Roman"/>
          <w:sz w:val="24"/>
          <w:szCs w:val="24"/>
          <w:u w:val="single"/>
          <w:lang w:val="sr-Cyrl-CS"/>
        </w:rPr>
        <w:t xml:space="preserve">. </w:t>
      </w:r>
      <w:r>
        <w:rPr>
          <w:rFonts w:ascii="Times New Roman" w:hAnsi="Times New Roman"/>
          <w:sz w:val="24"/>
          <w:szCs w:val="24"/>
          <w:u w:val="single"/>
          <w:lang w:val="sr-Cyrl-RS"/>
        </w:rPr>
        <w:t>716,00м2</w:t>
      </w:r>
    </w:p>
    <w:p w:rsidR="003F1A8F" w:rsidRDefault="003F1A8F" w:rsidP="003F1A8F">
      <w:pPr>
        <w:numPr>
          <w:ilvl w:val="0"/>
          <w:numId w:val="17"/>
        </w:numPr>
        <w:spacing w:after="0" w:line="240" w:lineRule="auto"/>
        <w:jc w:val="both"/>
        <w:rPr>
          <w:rFonts w:ascii="Times New Roman" w:hAnsi="Times New Roman"/>
          <w:sz w:val="24"/>
          <w:szCs w:val="24"/>
          <w:u w:val="single"/>
          <w:lang w:val="sr-Cyrl-RS"/>
        </w:rPr>
      </w:pPr>
      <w:r>
        <w:rPr>
          <w:rFonts w:ascii="Times New Roman" w:hAnsi="Times New Roman"/>
          <w:sz w:val="24"/>
          <w:szCs w:val="24"/>
          <w:u w:val="single"/>
          <w:lang w:val="sr-Cyrl-RS"/>
        </w:rPr>
        <w:t xml:space="preserve">Бесправно изграђена котларница....  </w:t>
      </w:r>
      <w:r>
        <w:rPr>
          <w:rFonts w:ascii="Times New Roman" w:hAnsi="Times New Roman"/>
          <w:sz w:val="24"/>
          <w:szCs w:val="24"/>
          <w:u w:val="single"/>
          <w:lang w:val="sr-Cyrl-CS"/>
        </w:rPr>
        <w:t xml:space="preserve">  </w:t>
      </w:r>
      <w:r>
        <w:rPr>
          <w:rFonts w:ascii="Times New Roman" w:hAnsi="Times New Roman"/>
          <w:sz w:val="24"/>
          <w:szCs w:val="24"/>
          <w:u w:val="single"/>
          <w:lang w:val="sr-Cyrl-RS"/>
        </w:rPr>
        <w:t>50,50м2</w:t>
      </w:r>
    </w:p>
    <w:p w:rsidR="003F1A8F" w:rsidRDefault="003F1A8F" w:rsidP="003F1A8F">
      <w:pPr>
        <w:spacing w:after="0" w:line="240" w:lineRule="auto"/>
        <w:ind w:left="720"/>
        <w:jc w:val="both"/>
        <w:rPr>
          <w:rFonts w:ascii="Times New Roman" w:hAnsi="Times New Roman"/>
          <w:sz w:val="24"/>
          <w:szCs w:val="24"/>
          <w:lang w:val="sr-Cyrl-RS"/>
        </w:rPr>
      </w:pPr>
      <w:r>
        <w:rPr>
          <w:rFonts w:ascii="Times New Roman" w:hAnsi="Times New Roman"/>
          <w:sz w:val="24"/>
          <w:szCs w:val="24"/>
          <w:lang w:val="sr-Cyrl-RS"/>
        </w:rPr>
        <w:t xml:space="preserve">Укупна корисна нето површина:  </w:t>
      </w:r>
      <w:r>
        <w:rPr>
          <w:rFonts w:ascii="Times New Roman" w:hAnsi="Times New Roman"/>
          <w:sz w:val="24"/>
          <w:szCs w:val="24"/>
          <w:lang w:val="sr-Cyrl-CS"/>
        </w:rPr>
        <w:t xml:space="preserve"> </w:t>
      </w:r>
      <w:r>
        <w:rPr>
          <w:rFonts w:ascii="Times New Roman" w:hAnsi="Times New Roman"/>
          <w:sz w:val="24"/>
          <w:szCs w:val="24"/>
          <w:lang w:val="sr-Cyrl-RS"/>
        </w:rPr>
        <w:t>765,35м2</w:t>
      </w:r>
    </w:p>
    <w:p w:rsidR="002F41AF" w:rsidRDefault="002F41AF" w:rsidP="002F41AF">
      <w:pPr>
        <w:spacing w:after="0" w:line="240" w:lineRule="auto"/>
        <w:jc w:val="both"/>
        <w:rPr>
          <w:rFonts w:ascii="Times New Roman" w:hAnsi="Times New Roman"/>
          <w:sz w:val="24"/>
          <w:szCs w:val="24"/>
          <w:lang w:val="sr-Cyrl-RS"/>
        </w:rPr>
      </w:pPr>
    </w:p>
    <w:p w:rsidR="00AE403D" w:rsidRDefault="00AE403D" w:rsidP="002F41AF">
      <w:pPr>
        <w:spacing w:after="0" w:line="240" w:lineRule="auto"/>
        <w:jc w:val="both"/>
        <w:rPr>
          <w:rFonts w:ascii="Times New Roman" w:hAnsi="Times New Roman"/>
          <w:sz w:val="24"/>
          <w:szCs w:val="24"/>
          <w:lang w:val="sr-Cyrl-RS"/>
        </w:rPr>
      </w:pPr>
      <w:r w:rsidRPr="00AE403D">
        <w:rPr>
          <w:rFonts w:ascii="Times New Roman" w:hAnsi="Times New Roman"/>
          <w:sz w:val="24"/>
          <w:szCs w:val="24"/>
          <w:lang w:val="sr-Cyrl-RS"/>
        </w:rPr>
        <w:t>Имовина стечајног дужника која није</w:t>
      </w:r>
      <w:r>
        <w:rPr>
          <w:rFonts w:ascii="Times New Roman" w:hAnsi="Times New Roman"/>
          <w:sz w:val="24"/>
          <w:szCs w:val="24"/>
          <w:lang w:val="sr-Cyrl-RS"/>
        </w:rPr>
        <w:t xml:space="preserve"> била</w:t>
      </w:r>
      <w:r w:rsidRPr="00AE403D">
        <w:rPr>
          <w:rFonts w:ascii="Times New Roman" w:hAnsi="Times New Roman"/>
          <w:sz w:val="24"/>
          <w:szCs w:val="24"/>
          <w:lang w:val="sr-Cyrl-RS"/>
        </w:rPr>
        <w:t xml:space="preserve"> предмет процене из члана 135. став 2. Закона о стечају сходно члану 136. став 2. Закона о стечају улази у стечајуну масу.  </w:t>
      </w:r>
    </w:p>
    <w:p w:rsidR="00AE403D" w:rsidRDefault="00AE403D" w:rsidP="002F41AF">
      <w:pPr>
        <w:spacing w:after="0" w:line="240" w:lineRule="auto"/>
        <w:jc w:val="both"/>
        <w:rPr>
          <w:rFonts w:ascii="Times New Roman" w:hAnsi="Times New Roman"/>
          <w:sz w:val="24"/>
          <w:szCs w:val="24"/>
          <w:lang w:val="sr-Cyrl-RS"/>
        </w:rPr>
      </w:pPr>
    </w:p>
    <w:p w:rsidR="002F41AF" w:rsidRDefault="002F41AF" w:rsidP="002F41AF">
      <w:pPr>
        <w:spacing w:after="0" w:line="240" w:lineRule="auto"/>
        <w:jc w:val="both"/>
        <w:rPr>
          <w:rFonts w:ascii="Times New Roman" w:hAnsi="Times New Roman"/>
          <w:sz w:val="24"/>
          <w:szCs w:val="24"/>
          <w:lang w:val="sr-Cyrl-RS"/>
        </w:rPr>
      </w:pPr>
      <w:r>
        <w:rPr>
          <w:rFonts w:ascii="Times New Roman" w:hAnsi="Times New Roman"/>
          <w:sz w:val="24"/>
          <w:szCs w:val="24"/>
          <w:lang w:val="sr-Cyrl-RS"/>
        </w:rPr>
        <w:lastRenderedPageBreak/>
        <w:t xml:space="preserve">Напомена: </w:t>
      </w:r>
      <w:r w:rsidRPr="002F41AF">
        <w:rPr>
          <w:rFonts w:ascii="Times New Roman" w:hAnsi="Times New Roman"/>
          <w:sz w:val="24"/>
          <w:szCs w:val="24"/>
          <w:lang w:val="sr-Cyrl-RS"/>
        </w:rPr>
        <w:t>У поступку пред Првим основним судом у Београду под бројем 54 П-43099/21 у току је спор</w:t>
      </w:r>
      <w:r>
        <w:rPr>
          <w:rFonts w:ascii="Times New Roman" w:hAnsi="Times New Roman"/>
          <w:sz w:val="24"/>
          <w:szCs w:val="24"/>
          <w:lang w:val="sr-Cyrl-RS"/>
        </w:rPr>
        <w:t xml:space="preserve"> </w:t>
      </w:r>
      <w:r w:rsidRPr="002F41AF">
        <w:rPr>
          <w:rFonts w:ascii="Times New Roman" w:hAnsi="Times New Roman"/>
          <w:sz w:val="24"/>
          <w:szCs w:val="24"/>
          <w:lang w:val="sr-Cyrl-RS"/>
        </w:rPr>
        <w:t>са захтевом за утврђење да се тужилац на основу донете пресуде може укњижити у катастру непокретности своје право својине н</w:t>
      </w:r>
      <w:r>
        <w:rPr>
          <w:rFonts w:ascii="Times New Roman" w:hAnsi="Times New Roman"/>
          <w:sz w:val="24"/>
          <w:szCs w:val="24"/>
          <w:lang w:val="sr-Cyrl-RS"/>
        </w:rPr>
        <w:t>а горе описаним непокретностима.</w:t>
      </w:r>
    </w:p>
    <w:p w:rsidR="003F1A8F" w:rsidRPr="003D7919" w:rsidRDefault="003F1A8F" w:rsidP="007C4B9A">
      <w:pPr>
        <w:pStyle w:val="NoSpacing"/>
        <w:rPr>
          <w:rFonts w:ascii="Times New Roman" w:hAnsi="Times New Roman"/>
        </w:rPr>
      </w:pPr>
    </w:p>
    <w:p w:rsidR="00167647" w:rsidRPr="005B1B3E" w:rsidRDefault="00167647" w:rsidP="007C4B9A">
      <w:pPr>
        <w:pStyle w:val="NoSpacing"/>
        <w:rPr>
          <w:rFonts w:ascii="Times New Roman" w:hAnsi="Times New Roman"/>
          <w:lang w:val="ru-RU"/>
        </w:rPr>
      </w:pPr>
      <w:r w:rsidRPr="007C4B9A">
        <w:rPr>
          <w:rFonts w:ascii="Times New Roman" w:hAnsi="Times New Roman"/>
        </w:rPr>
        <w:t xml:space="preserve">I </w:t>
      </w:r>
      <w:r w:rsidRPr="007C4B9A">
        <w:rPr>
          <w:rFonts w:ascii="Times New Roman" w:hAnsi="Times New Roman"/>
          <w:lang w:val="sr-Cyrl-CS"/>
        </w:rPr>
        <w:t xml:space="preserve">Право на </w:t>
      </w:r>
      <w:r>
        <w:rPr>
          <w:rFonts w:ascii="Times New Roman" w:hAnsi="Times New Roman"/>
          <w:lang w:val="sr-Cyrl-CS"/>
        </w:rPr>
        <w:t>учешћу у поступку продаје имају</w:t>
      </w:r>
      <w:r w:rsidR="003D7919">
        <w:rPr>
          <w:rFonts w:ascii="Times New Roman" w:hAnsi="Times New Roman"/>
          <w:lang w:val="sr-Cyrl-CS"/>
        </w:rPr>
        <w:t xml:space="preserve"> сва правна и</w:t>
      </w:r>
      <w:r w:rsidRPr="007C4B9A">
        <w:rPr>
          <w:rFonts w:ascii="Times New Roman" w:hAnsi="Times New Roman"/>
          <w:lang w:val="sr-Cyrl-CS"/>
        </w:rPr>
        <w:t xml:space="preserve"> физичка лица која:</w:t>
      </w:r>
    </w:p>
    <w:p w:rsidR="00167647" w:rsidRPr="007C4B9A" w:rsidRDefault="00167647" w:rsidP="007C4B9A">
      <w:pPr>
        <w:pStyle w:val="NoSpacing"/>
        <w:numPr>
          <w:ilvl w:val="0"/>
          <w:numId w:val="12"/>
        </w:numPr>
        <w:jc w:val="both"/>
        <w:rPr>
          <w:rFonts w:ascii="Times New Roman" w:hAnsi="Times New Roman"/>
          <w:lang w:val="sr-Cyrl-CS"/>
        </w:rPr>
      </w:pPr>
      <w:r w:rsidRPr="007C4B9A">
        <w:rPr>
          <w:rFonts w:ascii="Times New Roman" w:hAnsi="Times New Roman"/>
          <w:lang w:val="sr-Cyrl-CS"/>
        </w:rPr>
        <w:t>након добијања профактуре,</w:t>
      </w:r>
      <w:r>
        <w:rPr>
          <w:rFonts w:ascii="Times New Roman" w:hAnsi="Times New Roman"/>
          <w:lang w:val="sr-Cyrl-CS"/>
        </w:rPr>
        <w:t xml:space="preserve"> изврше </w:t>
      </w:r>
      <w:r w:rsidR="00580DE8">
        <w:rPr>
          <w:rFonts w:ascii="Times New Roman" w:hAnsi="Times New Roman"/>
          <w:lang w:val="sr-Cyrl-CS"/>
        </w:rPr>
        <w:t>уплату</w:t>
      </w:r>
      <w:r w:rsidRPr="007C4B9A">
        <w:rPr>
          <w:rFonts w:ascii="Times New Roman" w:hAnsi="Times New Roman"/>
          <w:lang w:val="sr-Cyrl-CS"/>
        </w:rPr>
        <w:t xml:space="preserve"> ради откупа прод</w:t>
      </w:r>
      <w:r>
        <w:rPr>
          <w:rFonts w:ascii="Times New Roman" w:hAnsi="Times New Roman"/>
          <w:lang w:val="sr-Cyrl-CS"/>
        </w:rPr>
        <w:t xml:space="preserve">ајне документације у износу од </w:t>
      </w:r>
      <w:r w:rsidR="003D7919">
        <w:rPr>
          <w:rFonts w:ascii="Times New Roman" w:hAnsi="Times New Roman"/>
          <w:lang w:val="sr-Cyrl-CS"/>
        </w:rPr>
        <w:t>1</w:t>
      </w:r>
      <w:r w:rsidR="00265031">
        <w:rPr>
          <w:rFonts w:ascii="Times New Roman" w:hAnsi="Times New Roman"/>
        </w:rPr>
        <w:t>0</w:t>
      </w:r>
      <w:r>
        <w:rPr>
          <w:rFonts w:ascii="Times New Roman" w:hAnsi="Times New Roman"/>
        </w:rPr>
        <w:t>0</w:t>
      </w:r>
      <w:r w:rsidRPr="007C4B9A">
        <w:rPr>
          <w:rFonts w:ascii="Times New Roman" w:hAnsi="Times New Roman"/>
          <w:lang w:val="sr-Cyrl-CS"/>
        </w:rPr>
        <w:t>.000</w:t>
      </w:r>
      <w:r>
        <w:rPr>
          <w:rFonts w:ascii="Times New Roman" w:hAnsi="Times New Roman"/>
          <w:lang w:val="sr-Cyrl-CS"/>
        </w:rPr>
        <w:t>,00 динара</w:t>
      </w:r>
      <w:r w:rsidR="00FE625F">
        <w:rPr>
          <w:rFonts w:ascii="Times New Roman" w:hAnsi="Times New Roman"/>
          <w:lang w:val="sr-Cyrl-CS"/>
        </w:rPr>
        <w:t xml:space="preserve"> увећану за износ ПДВ-а</w:t>
      </w:r>
      <w:r>
        <w:rPr>
          <w:rFonts w:ascii="Times New Roman" w:hAnsi="Times New Roman"/>
          <w:lang w:val="sr-Cyrl-CS"/>
        </w:rPr>
        <w:t xml:space="preserve">. </w:t>
      </w:r>
      <w:r w:rsidRPr="007C4B9A">
        <w:rPr>
          <w:rFonts w:ascii="Times New Roman" w:hAnsi="Times New Roman"/>
          <w:lang w:val="sr-Cyrl-CS"/>
        </w:rPr>
        <w:t xml:space="preserve">Профактура се може преузети сваког </w:t>
      </w:r>
      <w:r w:rsidR="009651A4">
        <w:rPr>
          <w:rFonts w:ascii="Times New Roman" w:hAnsi="Times New Roman"/>
          <w:lang w:val="sr-Cyrl-CS"/>
        </w:rPr>
        <w:t xml:space="preserve">радног дана до </w:t>
      </w:r>
      <w:r w:rsidR="007926D5">
        <w:rPr>
          <w:rFonts w:ascii="Times New Roman" w:hAnsi="Times New Roman"/>
        </w:rPr>
        <w:t>1</w:t>
      </w:r>
      <w:r w:rsidR="00F577B4">
        <w:rPr>
          <w:rFonts w:ascii="Times New Roman" w:hAnsi="Times New Roman"/>
        </w:rPr>
        <w:t>5</w:t>
      </w:r>
      <w:r w:rsidR="007926D5">
        <w:rPr>
          <w:rFonts w:ascii="Times New Roman" w:hAnsi="Times New Roman"/>
        </w:rPr>
        <w:t>.0</w:t>
      </w:r>
      <w:r w:rsidR="00F577B4">
        <w:rPr>
          <w:rFonts w:ascii="Times New Roman" w:hAnsi="Times New Roman"/>
        </w:rPr>
        <w:t>9</w:t>
      </w:r>
      <w:r w:rsidR="007926D5">
        <w:rPr>
          <w:rFonts w:ascii="Times New Roman" w:hAnsi="Times New Roman"/>
          <w:lang w:val="sr-Cyrl-CS"/>
        </w:rPr>
        <w:t>.2023. године, у периоду од 10</w:t>
      </w:r>
      <w:r w:rsidRPr="007C4B9A">
        <w:rPr>
          <w:rFonts w:ascii="Times New Roman" w:hAnsi="Times New Roman"/>
          <w:lang w:val="sr-Cyrl-CS"/>
        </w:rPr>
        <w:t xml:space="preserve"> до 15 часова у просторијама</w:t>
      </w:r>
      <w:r w:rsidR="000E735C">
        <w:rPr>
          <w:rFonts w:ascii="Times New Roman" w:hAnsi="Times New Roman"/>
          <w:lang w:val="sr-Cyrl-CS"/>
        </w:rPr>
        <w:t xml:space="preserve"> сарадника</w:t>
      </w:r>
      <w:r w:rsidRPr="007C4B9A">
        <w:rPr>
          <w:rFonts w:ascii="Times New Roman" w:hAnsi="Times New Roman"/>
          <w:lang w:val="sr-Cyrl-CS"/>
        </w:rPr>
        <w:t xml:space="preserve"> стечајног управника у Београду, ул. Мутапова бр. 20, локал 4; </w:t>
      </w:r>
    </w:p>
    <w:p w:rsidR="00167647" w:rsidRPr="007C4B9A" w:rsidRDefault="00167647" w:rsidP="000E735C">
      <w:pPr>
        <w:pStyle w:val="NoSpacing"/>
        <w:numPr>
          <w:ilvl w:val="0"/>
          <w:numId w:val="12"/>
        </w:numPr>
        <w:jc w:val="both"/>
        <w:rPr>
          <w:rFonts w:ascii="Times New Roman" w:hAnsi="Times New Roman"/>
          <w:lang w:val="sr-Cyrl-CS"/>
        </w:rPr>
      </w:pPr>
      <w:r w:rsidRPr="007C4B9A">
        <w:rPr>
          <w:rFonts w:ascii="Times New Roman" w:hAnsi="Times New Roman"/>
          <w:lang w:val="sr-Cyrl-CS"/>
        </w:rPr>
        <w:t xml:space="preserve">уплате депозит на текући рачун стечајног дужника број </w:t>
      </w:r>
      <w:r w:rsidR="00F577B4" w:rsidRPr="00F577B4">
        <w:rPr>
          <w:rFonts w:ascii="Times New Roman" w:hAnsi="Times New Roman"/>
          <w:b/>
          <w:lang w:val="sr-Cyrl-CS"/>
        </w:rPr>
        <w:t>200-3149671301033-28</w:t>
      </w:r>
      <w:r w:rsidRPr="007C4B9A">
        <w:rPr>
          <w:rFonts w:ascii="Times New Roman" w:hAnsi="Times New Roman"/>
          <w:lang w:val="sr-Cyrl-CS"/>
        </w:rPr>
        <w:t>, ко</w:t>
      </w:r>
      <w:r>
        <w:rPr>
          <w:rFonts w:ascii="Times New Roman" w:hAnsi="Times New Roman"/>
          <w:lang w:val="sr-Cyrl-CS"/>
        </w:rPr>
        <w:t xml:space="preserve">ји се води код </w:t>
      </w:r>
      <w:r w:rsidR="000E735C">
        <w:rPr>
          <w:rFonts w:ascii="Times New Roman" w:hAnsi="Times New Roman"/>
          <w:lang w:val="sr-Cyrl-RS"/>
        </w:rPr>
        <w:t>Банке поштанска штедионица ад Београд</w:t>
      </w:r>
      <w:r w:rsidRPr="007C4B9A">
        <w:rPr>
          <w:rFonts w:ascii="Times New Roman" w:hAnsi="Times New Roman"/>
          <w:lang w:val="sr-Cyrl-CS"/>
        </w:rPr>
        <w:t xml:space="preserve"> или положе неопозиву првокласну банкарску гаранцију напл</w:t>
      </w:r>
      <w:r w:rsidR="007926D5">
        <w:rPr>
          <w:rFonts w:ascii="Times New Roman" w:hAnsi="Times New Roman"/>
          <w:lang w:val="sr-Cyrl-CS"/>
        </w:rPr>
        <w:t>ативу на први позив. Р</w:t>
      </w:r>
      <w:r>
        <w:rPr>
          <w:rFonts w:ascii="Times New Roman" w:hAnsi="Times New Roman"/>
          <w:lang w:val="sr-Cyrl-CS"/>
        </w:rPr>
        <w:t xml:space="preserve">ок за уплату депозита је </w:t>
      </w:r>
      <w:r w:rsidR="007926D5">
        <w:rPr>
          <w:rFonts w:ascii="Times New Roman" w:hAnsi="Times New Roman"/>
        </w:rPr>
        <w:t>1</w:t>
      </w:r>
      <w:r w:rsidR="00F577B4">
        <w:rPr>
          <w:rFonts w:ascii="Times New Roman" w:hAnsi="Times New Roman"/>
        </w:rPr>
        <w:t>5</w:t>
      </w:r>
      <w:r>
        <w:rPr>
          <w:rFonts w:ascii="Times New Roman" w:hAnsi="Times New Roman"/>
          <w:lang w:val="sr-Cyrl-CS"/>
        </w:rPr>
        <w:t>.</w:t>
      </w:r>
      <w:r w:rsidR="007926D5">
        <w:rPr>
          <w:rFonts w:ascii="Times New Roman" w:hAnsi="Times New Roman"/>
        </w:rPr>
        <w:t>0</w:t>
      </w:r>
      <w:r w:rsidR="00F577B4">
        <w:rPr>
          <w:rFonts w:ascii="Times New Roman" w:hAnsi="Times New Roman"/>
        </w:rPr>
        <w:t>9</w:t>
      </w:r>
      <w:r w:rsidR="007926D5">
        <w:rPr>
          <w:rFonts w:ascii="Times New Roman" w:hAnsi="Times New Roman"/>
          <w:lang w:val="sr-Cyrl-CS"/>
        </w:rPr>
        <w:t>.2023</w:t>
      </w:r>
      <w:r w:rsidRPr="007C4B9A">
        <w:rPr>
          <w:rFonts w:ascii="Times New Roman" w:hAnsi="Times New Roman"/>
          <w:lang w:val="sr-Cyrl-CS"/>
        </w:rPr>
        <w:t xml:space="preserve">. године. У случају да се као депозит положи првокласна банкарска гаранција, оригинал исте се ради провере мора доставити </w:t>
      </w:r>
      <w:r w:rsidRPr="007C4B9A">
        <w:rPr>
          <w:rFonts w:ascii="Times New Roman" w:hAnsi="Times New Roman"/>
          <w:b/>
          <w:lang w:val="sr-Cyrl-CS"/>
        </w:rPr>
        <w:t>искључиво лично</w:t>
      </w:r>
      <w:r>
        <w:rPr>
          <w:rFonts w:ascii="Times New Roman" w:hAnsi="Times New Roman"/>
          <w:b/>
        </w:rPr>
        <w:t>,</w:t>
      </w:r>
      <w:r w:rsidR="003D7919">
        <w:rPr>
          <w:rFonts w:ascii="Times New Roman" w:hAnsi="Times New Roman"/>
          <w:b/>
        </w:rPr>
        <w:t xml:space="preserve"> </w:t>
      </w:r>
      <w:r w:rsidR="003D7919">
        <w:rPr>
          <w:rFonts w:ascii="Times New Roman" w:hAnsi="Times New Roman"/>
          <w:lang w:val="sr-Cyrl-CS"/>
        </w:rPr>
        <w:t>стечајном управнику</w:t>
      </w:r>
      <w:r w:rsidRPr="007C4B9A">
        <w:rPr>
          <w:rFonts w:ascii="Times New Roman" w:hAnsi="Times New Roman"/>
          <w:lang w:val="sr-Cyrl-CS"/>
        </w:rPr>
        <w:t xml:space="preserve"> на адресу Београд, ул. Мутапова бр. 20, локал бр. 4, најкасније до </w:t>
      </w:r>
      <w:r w:rsidR="007926D5">
        <w:rPr>
          <w:rFonts w:ascii="Times New Roman" w:hAnsi="Times New Roman"/>
          <w:b/>
        </w:rPr>
        <w:t>1</w:t>
      </w:r>
      <w:r w:rsidR="00F577B4">
        <w:rPr>
          <w:rFonts w:ascii="Times New Roman" w:hAnsi="Times New Roman"/>
          <w:b/>
        </w:rPr>
        <w:t>5</w:t>
      </w:r>
      <w:r w:rsidR="009651A4">
        <w:rPr>
          <w:rFonts w:ascii="Times New Roman" w:hAnsi="Times New Roman"/>
          <w:b/>
          <w:lang w:val="sr-Cyrl-CS"/>
        </w:rPr>
        <w:t>.</w:t>
      </w:r>
      <w:r w:rsidR="007926D5">
        <w:rPr>
          <w:rFonts w:ascii="Times New Roman" w:hAnsi="Times New Roman"/>
          <w:b/>
        </w:rPr>
        <w:t>0</w:t>
      </w:r>
      <w:r w:rsidR="00F577B4">
        <w:rPr>
          <w:rFonts w:ascii="Times New Roman" w:hAnsi="Times New Roman"/>
          <w:b/>
        </w:rPr>
        <w:t>9</w:t>
      </w:r>
      <w:r w:rsidR="007926D5">
        <w:rPr>
          <w:rFonts w:ascii="Times New Roman" w:hAnsi="Times New Roman"/>
          <w:b/>
          <w:lang w:val="sr-Cyrl-CS"/>
        </w:rPr>
        <w:t>.2023. године до 15</w:t>
      </w:r>
      <w:r w:rsidRPr="007C4B9A">
        <w:rPr>
          <w:rFonts w:ascii="Times New Roman" w:hAnsi="Times New Roman"/>
          <w:b/>
          <w:lang w:val="sr-Cyrl-CS"/>
        </w:rPr>
        <w:t xml:space="preserve">.00 часова </w:t>
      </w:r>
      <w:r w:rsidRPr="007C4B9A">
        <w:rPr>
          <w:rFonts w:ascii="Times New Roman" w:hAnsi="Times New Roman"/>
          <w:lang w:val="sr-Cyrl-CS"/>
        </w:rPr>
        <w:t>по београдском времену (</w:t>
      </w:r>
      <w:r w:rsidRPr="007C4B9A">
        <w:rPr>
          <w:rFonts w:ascii="Times New Roman" w:hAnsi="Times New Roman"/>
        </w:rPr>
        <w:t xml:space="preserve">GMT+1). </w:t>
      </w:r>
      <w:r w:rsidRPr="007C4B9A">
        <w:rPr>
          <w:rFonts w:ascii="Times New Roman" w:hAnsi="Times New Roman"/>
          <w:lang w:val="sr-Cyrl-CS"/>
        </w:rPr>
        <w:t>Рок</w:t>
      </w:r>
      <w:r w:rsidR="002F41AF">
        <w:rPr>
          <w:rFonts w:ascii="Times New Roman" w:hAnsi="Times New Roman"/>
          <w:lang w:val="sr-Cyrl-CS"/>
        </w:rPr>
        <w:t xml:space="preserve"> важења банкарске гаранције је 9</w:t>
      </w:r>
      <w:r w:rsidRPr="007C4B9A">
        <w:rPr>
          <w:rFonts w:ascii="Times New Roman" w:hAnsi="Times New Roman"/>
          <w:lang w:val="sr-Cyrl-CS"/>
        </w:rPr>
        <w:t>0 дана. У обзир ће се узети само банкарске гаранције које пристигну на назначену адресу у назначено време;</w:t>
      </w:r>
    </w:p>
    <w:p w:rsidR="00167647" w:rsidRPr="00675162" w:rsidRDefault="00167647" w:rsidP="007C4B9A">
      <w:pPr>
        <w:pStyle w:val="NoSpacing"/>
        <w:numPr>
          <w:ilvl w:val="0"/>
          <w:numId w:val="12"/>
        </w:numPr>
        <w:jc w:val="both"/>
        <w:rPr>
          <w:rFonts w:ascii="Times New Roman" w:hAnsi="Times New Roman"/>
          <w:bCs/>
          <w:lang w:val="sr-Cyrl-CS"/>
        </w:rPr>
      </w:pPr>
      <w:r w:rsidRPr="007C4B9A">
        <w:rPr>
          <w:rFonts w:ascii="Times New Roman" w:hAnsi="Times New Roman"/>
          <w:lang w:val="sr-Cyrl-CS"/>
        </w:rPr>
        <w:t>потпишу изјаву о губитку права на повраћај депозита. Изјава чини саставни део прода</w:t>
      </w:r>
      <w:r>
        <w:rPr>
          <w:rFonts w:ascii="Times New Roman" w:hAnsi="Times New Roman"/>
          <w:lang w:val="sr-Cyrl-CS"/>
        </w:rPr>
        <w:t>јне документације;</w:t>
      </w:r>
    </w:p>
    <w:p w:rsidR="00167647" w:rsidRPr="00874838" w:rsidRDefault="00167647" w:rsidP="00874838">
      <w:pPr>
        <w:pStyle w:val="NoSpacing"/>
        <w:numPr>
          <w:ilvl w:val="0"/>
          <w:numId w:val="12"/>
        </w:numPr>
        <w:jc w:val="both"/>
        <w:rPr>
          <w:rFonts w:ascii="Times New Roman" w:hAnsi="Times New Roman"/>
          <w:bCs/>
          <w:lang w:val="sr-Cyrl-CS"/>
        </w:rPr>
      </w:pPr>
      <w:r>
        <w:rPr>
          <w:rFonts w:ascii="Times New Roman" w:hAnsi="Times New Roman"/>
          <w:lang w:val="sr-Cyrl-CS"/>
        </w:rPr>
        <w:t>потпишу уговор о чувању поверљивих података приликом преузимања продајне документације.</w:t>
      </w:r>
    </w:p>
    <w:p w:rsidR="00167647" w:rsidRPr="00874838" w:rsidRDefault="00167647" w:rsidP="007C4B9A">
      <w:pPr>
        <w:pStyle w:val="NoSpacing"/>
        <w:jc w:val="both"/>
        <w:rPr>
          <w:rFonts w:ascii="Times New Roman" w:hAnsi="Times New Roman"/>
        </w:rPr>
      </w:pPr>
      <w:r w:rsidRPr="007C4B9A">
        <w:rPr>
          <w:rFonts w:ascii="Times New Roman" w:hAnsi="Times New Roman"/>
        </w:rPr>
        <w:t xml:space="preserve">II </w:t>
      </w:r>
      <w:r w:rsidRPr="007C4B9A">
        <w:rPr>
          <w:rFonts w:ascii="Times New Roman" w:hAnsi="Times New Roman"/>
          <w:lang w:val="sr-Cyrl-CS"/>
        </w:rPr>
        <w:t>Након упл</w:t>
      </w:r>
      <w:r w:rsidR="009651A4">
        <w:rPr>
          <w:rFonts w:ascii="Times New Roman" w:hAnsi="Times New Roman"/>
          <w:lang w:val="sr-Cyrl-CS"/>
        </w:rPr>
        <w:t xml:space="preserve">ате депозита, а најкасније до </w:t>
      </w:r>
      <w:r w:rsidR="00F577B4">
        <w:rPr>
          <w:rFonts w:ascii="Times New Roman" w:hAnsi="Times New Roman"/>
        </w:rPr>
        <w:t>18</w:t>
      </w:r>
      <w:r w:rsidR="009651A4">
        <w:rPr>
          <w:rFonts w:ascii="Times New Roman" w:hAnsi="Times New Roman"/>
          <w:lang w:val="sr-Cyrl-CS"/>
        </w:rPr>
        <w:t>.</w:t>
      </w:r>
      <w:r w:rsidR="007926D5">
        <w:rPr>
          <w:rFonts w:ascii="Times New Roman" w:hAnsi="Times New Roman"/>
        </w:rPr>
        <w:t>0</w:t>
      </w:r>
      <w:r w:rsidR="00F577B4">
        <w:rPr>
          <w:rFonts w:ascii="Times New Roman" w:hAnsi="Times New Roman"/>
        </w:rPr>
        <w:t>9</w:t>
      </w:r>
      <w:r w:rsidR="007926D5">
        <w:rPr>
          <w:rFonts w:ascii="Times New Roman" w:hAnsi="Times New Roman"/>
          <w:lang w:val="sr-Cyrl-CS"/>
        </w:rPr>
        <w:t>.2023</w:t>
      </w:r>
      <w:r w:rsidRPr="007C4B9A">
        <w:rPr>
          <w:rFonts w:ascii="Times New Roman" w:hAnsi="Times New Roman"/>
          <w:lang w:val="sr-Cyrl-CS"/>
        </w:rPr>
        <w:t>. год., потенцијални купци, ради правовремене евиденције, морају предати стечајном управнику: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w:t>
      </w:r>
      <w:r w:rsidR="00B30D5E">
        <w:rPr>
          <w:rFonts w:ascii="Times New Roman" w:hAnsi="Times New Roman"/>
          <w:lang w:val="sr-Cyrl-CS"/>
        </w:rPr>
        <w:t>егистра привредних субјеката</w:t>
      </w:r>
      <w:r w:rsidRPr="007C4B9A">
        <w:rPr>
          <w:rFonts w:ascii="Times New Roman" w:hAnsi="Times New Roman"/>
          <w:lang w:val="sr-Cyrl-CS"/>
        </w:rPr>
        <w:t xml:space="preserve">, овлашћење за заступање уколико јавном надметању не присуствује потенцијални купац </w:t>
      </w:r>
      <w:r w:rsidR="003D7919">
        <w:rPr>
          <w:rFonts w:ascii="Times New Roman" w:hAnsi="Times New Roman"/>
          <w:lang w:val="sr-Cyrl-CS"/>
        </w:rPr>
        <w:t>лично</w:t>
      </w:r>
      <w:r>
        <w:rPr>
          <w:rFonts w:ascii="Times New Roman" w:hAnsi="Times New Roman"/>
        </w:rPr>
        <w:t>.</w:t>
      </w:r>
    </w:p>
    <w:p w:rsidR="00167647" w:rsidRPr="007C4B9A" w:rsidRDefault="00167647" w:rsidP="007C4B9A">
      <w:pPr>
        <w:pStyle w:val="NoSpacing"/>
        <w:jc w:val="both"/>
        <w:rPr>
          <w:rFonts w:ascii="Times New Roman" w:hAnsi="Times New Roman"/>
          <w:lang w:val="sr-Cyrl-CS"/>
        </w:rPr>
      </w:pPr>
      <w:r w:rsidRPr="007C4B9A">
        <w:rPr>
          <w:rFonts w:ascii="Times New Roman" w:hAnsi="Times New Roman"/>
        </w:rPr>
        <w:t>III</w:t>
      </w:r>
      <w:r w:rsidRPr="007C4B9A">
        <w:rPr>
          <w:rFonts w:ascii="Times New Roman" w:hAnsi="Times New Roman"/>
          <w:b/>
        </w:rPr>
        <w:t xml:space="preserve"> </w:t>
      </w:r>
      <w:r w:rsidRPr="007C4B9A">
        <w:rPr>
          <w:rFonts w:ascii="Times New Roman" w:hAnsi="Times New Roman"/>
          <w:b/>
          <w:lang w:val="sr-Cyrl-CS"/>
        </w:rPr>
        <w:t>Ја</w:t>
      </w:r>
      <w:r w:rsidR="009651A4">
        <w:rPr>
          <w:rFonts w:ascii="Times New Roman" w:hAnsi="Times New Roman"/>
          <w:b/>
          <w:lang w:val="sr-Cyrl-CS"/>
        </w:rPr>
        <w:t xml:space="preserve">вно надметање одржаће се дана </w:t>
      </w:r>
      <w:r w:rsidR="00F577B4">
        <w:rPr>
          <w:rFonts w:ascii="Times New Roman" w:hAnsi="Times New Roman"/>
          <w:b/>
        </w:rPr>
        <w:t>20</w:t>
      </w:r>
      <w:r w:rsidR="009651A4">
        <w:rPr>
          <w:rFonts w:ascii="Times New Roman" w:hAnsi="Times New Roman"/>
          <w:b/>
          <w:lang w:val="sr-Cyrl-CS"/>
        </w:rPr>
        <w:t>.</w:t>
      </w:r>
      <w:r w:rsidR="00AE403D">
        <w:rPr>
          <w:rFonts w:ascii="Times New Roman" w:hAnsi="Times New Roman"/>
          <w:b/>
        </w:rPr>
        <w:t>0</w:t>
      </w:r>
      <w:r w:rsidR="00F577B4">
        <w:rPr>
          <w:rFonts w:ascii="Times New Roman" w:hAnsi="Times New Roman"/>
          <w:b/>
        </w:rPr>
        <w:t>9</w:t>
      </w:r>
      <w:r w:rsidR="00AE403D">
        <w:rPr>
          <w:rFonts w:ascii="Times New Roman" w:hAnsi="Times New Roman"/>
          <w:b/>
          <w:lang w:val="sr-Cyrl-CS"/>
        </w:rPr>
        <w:t>.2023</w:t>
      </w:r>
      <w:r w:rsidR="009651A4">
        <w:rPr>
          <w:rFonts w:ascii="Times New Roman" w:hAnsi="Times New Roman"/>
          <w:b/>
          <w:lang w:val="sr-Cyrl-CS"/>
        </w:rPr>
        <w:t xml:space="preserve">. године у </w:t>
      </w:r>
      <w:r w:rsidR="002F41AF">
        <w:rPr>
          <w:rFonts w:ascii="Times New Roman" w:hAnsi="Times New Roman"/>
          <w:b/>
          <w:lang w:val="sr-Cyrl-CS"/>
        </w:rPr>
        <w:t>14</w:t>
      </w:r>
      <w:r w:rsidR="00580DE8">
        <w:rPr>
          <w:rFonts w:ascii="Times New Roman" w:hAnsi="Times New Roman"/>
          <w:b/>
          <w:lang w:val="sr-Cyrl-CS"/>
        </w:rPr>
        <w:t>,00</w:t>
      </w:r>
      <w:r w:rsidRPr="007C4B9A">
        <w:rPr>
          <w:rFonts w:ascii="Times New Roman" w:hAnsi="Times New Roman"/>
          <w:b/>
          <w:lang w:val="sr-Cyrl-CS"/>
        </w:rPr>
        <w:t xml:space="preserve"> часова</w:t>
      </w:r>
      <w:r w:rsidRPr="007C4B9A">
        <w:rPr>
          <w:rFonts w:ascii="Times New Roman" w:hAnsi="Times New Roman"/>
          <w:lang w:val="sr-Cyrl-CS"/>
        </w:rPr>
        <w:t xml:space="preserve"> на следећој адреси:  Бе</w:t>
      </w:r>
      <w:r>
        <w:rPr>
          <w:rFonts w:ascii="Times New Roman" w:hAnsi="Times New Roman"/>
          <w:lang w:val="sr-Cyrl-CS"/>
        </w:rPr>
        <w:t>оград,</w:t>
      </w:r>
      <w:r w:rsidR="00E63085">
        <w:rPr>
          <w:rFonts w:ascii="Times New Roman" w:hAnsi="Times New Roman"/>
          <w:lang w:val="sr-Cyrl-CS"/>
        </w:rPr>
        <w:t xml:space="preserve"> улица Мутапова бр. 20, локал 4</w:t>
      </w:r>
      <w:r w:rsidR="00580DE8">
        <w:rPr>
          <w:rFonts w:ascii="Times New Roman" w:hAnsi="Times New Roman"/>
          <w:lang w:val="sr-Cyrl-CS"/>
        </w:rPr>
        <w:t>.</w:t>
      </w:r>
    </w:p>
    <w:p w:rsidR="00167647" w:rsidRPr="007C4B9A" w:rsidRDefault="00167647" w:rsidP="007C4B9A">
      <w:pPr>
        <w:pStyle w:val="NoSpacing"/>
        <w:jc w:val="both"/>
        <w:rPr>
          <w:rFonts w:ascii="Times New Roman" w:hAnsi="Times New Roman"/>
          <w:lang w:val="sr-Cyrl-CS"/>
        </w:rPr>
      </w:pPr>
      <w:r w:rsidRPr="007C4B9A">
        <w:rPr>
          <w:rFonts w:ascii="Times New Roman" w:hAnsi="Times New Roman"/>
          <w:lang w:val="sr-Cyrl-CS"/>
        </w:rPr>
        <w:t>Регистрација учесника почиње два сата пре почетка јавног надметања, а завршава се 10 минута пре почетка јавног на</w:t>
      </w:r>
      <w:r>
        <w:rPr>
          <w:rFonts w:ascii="Times New Roman" w:hAnsi="Times New Roman"/>
          <w:lang w:val="sr-Cyrl-CS"/>
        </w:rPr>
        <w:t>д</w:t>
      </w:r>
      <w:r w:rsidR="009651A4">
        <w:rPr>
          <w:rFonts w:ascii="Times New Roman" w:hAnsi="Times New Roman"/>
          <w:lang w:val="sr-Cyrl-CS"/>
        </w:rPr>
        <w:t xml:space="preserve">метања, односно у периоду од </w:t>
      </w:r>
      <w:r w:rsidR="002F41AF">
        <w:rPr>
          <w:rFonts w:ascii="Times New Roman" w:hAnsi="Times New Roman"/>
        </w:rPr>
        <w:t>12</w:t>
      </w:r>
      <w:r w:rsidR="009651A4">
        <w:rPr>
          <w:rFonts w:ascii="Times New Roman" w:hAnsi="Times New Roman"/>
          <w:lang w:val="sr-Cyrl-CS"/>
        </w:rPr>
        <w:t xml:space="preserve">,00 до </w:t>
      </w:r>
      <w:r w:rsidR="002F41AF">
        <w:rPr>
          <w:rFonts w:ascii="Times New Roman" w:hAnsi="Times New Roman"/>
        </w:rPr>
        <w:t>13</w:t>
      </w:r>
      <w:r w:rsidR="00580DE8">
        <w:rPr>
          <w:rFonts w:ascii="Times New Roman" w:hAnsi="Times New Roman"/>
          <w:lang w:val="sr-Cyrl-CS"/>
        </w:rPr>
        <w:t>,</w:t>
      </w:r>
      <w:r w:rsidRPr="007C4B9A">
        <w:rPr>
          <w:rFonts w:ascii="Times New Roman" w:hAnsi="Times New Roman"/>
          <w:lang w:val="sr-Cyrl-CS"/>
        </w:rPr>
        <w:t>50 часова, на истој адреси.</w:t>
      </w:r>
    </w:p>
    <w:p w:rsidR="00167647" w:rsidRPr="007C4B9A" w:rsidRDefault="00167647" w:rsidP="007C4B9A">
      <w:pPr>
        <w:pStyle w:val="NoSpacing"/>
        <w:jc w:val="both"/>
        <w:rPr>
          <w:rFonts w:ascii="Times New Roman" w:hAnsi="Times New Roman"/>
          <w:lang w:val="sr-Cyrl-CS"/>
        </w:rPr>
      </w:pPr>
      <w:r w:rsidRPr="007C4B9A">
        <w:rPr>
          <w:rFonts w:ascii="Times New Roman" w:hAnsi="Times New Roman"/>
          <w:lang w:val="sr-Cyrl-CS"/>
        </w:rPr>
        <w:t>Стечајни управник</w:t>
      </w:r>
      <w:r w:rsidR="00E63085">
        <w:rPr>
          <w:rFonts w:ascii="Times New Roman" w:hAnsi="Times New Roman"/>
          <w:lang w:val="sr-Cyrl-CS"/>
        </w:rPr>
        <w:t xml:space="preserve"> или лице које овласти</w:t>
      </w:r>
      <w:r w:rsidRPr="007C4B9A">
        <w:rPr>
          <w:rFonts w:ascii="Times New Roman" w:hAnsi="Times New Roman"/>
          <w:lang w:val="sr-Cyrl-CS"/>
        </w:rPr>
        <w:t xml:space="preserve"> спроводи јавно надметање тако што:</w:t>
      </w:r>
    </w:p>
    <w:p w:rsidR="00167647" w:rsidRPr="007C4B9A" w:rsidRDefault="00167647" w:rsidP="000133A6">
      <w:pPr>
        <w:pStyle w:val="NoSpacing"/>
        <w:numPr>
          <w:ilvl w:val="0"/>
          <w:numId w:val="14"/>
        </w:numPr>
        <w:jc w:val="both"/>
        <w:rPr>
          <w:rFonts w:ascii="Times New Roman" w:hAnsi="Times New Roman"/>
          <w:lang w:val="sr-Cyrl-CS"/>
        </w:rPr>
      </w:pPr>
      <w:r w:rsidRPr="007C4B9A">
        <w:rPr>
          <w:rFonts w:ascii="Times New Roman" w:hAnsi="Times New Roman"/>
          <w:lang w:val="sr-Cyrl-CS"/>
        </w:rPr>
        <w:t>региструје лица која имају право учешћа на јавном надметању (имају овлашћења или су лично присутни),</w:t>
      </w:r>
    </w:p>
    <w:p w:rsidR="00167647" w:rsidRPr="007C4B9A" w:rsidRDefault="00167647" w:rsidP="000133A6">
      <w:pPr>
        <w:pStyle w:val="NoSpacing"/>
        <w:numPr>
          <w:ilvl w:val="0"/>
          <w:numId w:val="14"/>
        </w:numPr>
        <w:jc w:val="both"/>
        <w:rPr>
          <w:rFonts w:ascii="Times New Roman" w:hAnsi="Times New Roman"/>
          <w:lang w:val="sr-Cyrl-CS"/>
        </w:rPr>
      </w:pPr>
      <w:r w:rsidRPr="007C4B9A">
        <w:rPr>
          <w:rFonts w:ascii="Times New Roman" w:hAnsi="Times New Roman"/>
          <w:lang w:val="sr-Cyrl-CS"/>
        </w:rPr>
        <w:t>отвара јавно надметање читајући правила надметања,</w:t>
      </w:r>
    </w:p>
    <w:p w:rsidR="00167647" w:rsidRPr="007C4B9A" w:rsidRDefault="00167647" w:rsidP="000133A6">
      <w:pPr>
        <w:pStyle w:val="NoSpacing"/>
        <w:numPr>
          <w:ilvl w:val="0"/>
          <w:numId w:val="14"/>
        </w:numPr>
        <w:jc w:val="both"/>
        <w:rPr>
          <w:rFonts w:ascii="Times New Roman" w:hAnsi="Times New Roman"/>
          <w:lang w:val="sr-Cyrl-CS"/>
        </w:rPr>
      </w:pPr>
      <w:r w:rsidRPr="007C4B9A">
        <w:rPr>
          <w:rFonts w:ascii="Times New Roman" w:hAnsi="Times New Roman"/>
          <w:lang w:val="sr-Cyrl-CS"/>
        </w:rPr>
        <w:t>позива учеснике да истакну понуду на оглашену цену, коју су спремни да плате,</w:t>
      </w:r>
    </w:p>
    <w:p w:rsidR="00167647" w:rsidRPr="007C4B9A" w:rsidRDefault="00167647" w:rsidP="000133A6">
      <w:pPr>
        <w:pStyle w:val="NoSpacing"/>
        <w:numPr>
          <w:ilvl w:val="0"/>
          <w:numId w:val="14"/>
        </w:numPr>
        <w:jc w:val="both"/>
        <w:rPr>
          <w:rFonts w:ascii="Times New Roman" w:hAnsi="Times New Roman"/>
          <w:lang w:val="sr-Cyrl-CS"/>
        </w:rPr>
      </w:pPr>
      <w:r w:rsidRPr="007C4B9A">
        <w:rPr>
          <w:rFonts w:ascii="Times New Roman" w:hAnsi="Times New Roman"/>
          <w:lang w:val="sr-Cyrl-CS"/>
        </w:rPr>
        <w:t>одржава ред на јавном надметању,</w:t>
      </w:r>
    </w:p>
    <w:p w:rsidR="00167647" w:rsidRPr="007C4B9A" w:rsidRDefault="00167647" w:rsidP="000133A6">
      <w:pPr>
        <w:pStyle w:val="NoSpacing"/>
        <w:numPr>
          <w:ilvl w:val="0"/>
          <w:numId w:val="14"/>
        </w:numPr>
        <w:jc w:val="both"/>
        <w:rPr>
          <w:rFonts w:ascii="Times New Roman" w:hAnsi="Times New Roman"/>
          <w:lang w:val="sr-Cyrl-CS"/>
        </w:rPr>
      </w:pPr>
      <w:r w:rsidRPr="007C4B9A">
        <w:rPr>
          <w:rFonts w:ascii="Times New Roman" w:hAnsi="Times New Roman"/>
          <w:lang w:val="sr-Cyrl-CS"/>
        </w:rPr>
        <w:t>проглашава купца када ниједна друга странка не истакне већу цену од последње понуђене цене,</w:t>
      </w:r>
    </w:p>
    <w:p w:rsidR="00167647" w:rsidRPr="007C4B9A" w:rsidRDefault="00167647" w:rsidP="000133A6">
      <w:pPr>
        <w:pStyle w:val="NoSpacing"/>
        <w:numPr>
          <w:ilvl w:val="0"/>
          <w:numId w:val="14"/>
        </w:numPr>
        <w:jc w:val="both"/>
        <w:rPr>
          <w:rFonts w:ascii="Times New Roman" w:hAnsi="Times New Roman"/>
          <w:lang w:val="sr-Cyrl-CS"/>
        </w:rPr>
      </w:pPr>
      <w:r w:rsidRPr="007C4B9A">
        <w:rPr>
          <w:rFonts w:ascii="Times New Roman" w:hAnsi="Times New Roman"/>
          <w:lang w:val="sr-Cyrl-CS"/>
        </w:rPr>
        <w:t>потписује записник.</w:t>
      </w:r>
    </w:p>
    <w:p w:rsidR="00167647" w:rsidRPr="007C4B9A" w:rsidRDefault="00167647" w:rsidP="007C4B9A">
      <w:pPr>
        <w:pStyle w:val="NoSpacing"/>
        <w:jc w:val="both"/>
        <w:rPr>
          <w:rFonts w:ascii="Times New Roman" w:hAnsi="Times New Roman"/>
          <w:lang w:val="sr-Cyrl-CS"/>
        </w:rPr>
      </w:pPr>
      <w:r w:rsidRPr="007C4B9A">
        <w:rPr>
          <w:rFonts w:ascii="Times New Roman" w:hAnsi="Times New Roman"/>
        </w:rPr>
        <w:t xml:space="preserve">IV </w:t>
      </w:r>
      <w:r w:rsidRPr="007C4B9A">
        <w:rPr>
          <w:rFonts w:ascii="Times New Roman" w:hAnsi="Times New Roman"/>
          <w:u w:val="single"/>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r w:rsidRPr="007C4B9A">
        <w:rPr>
          <w:rFonts w:ascii="Times New Roman" w:hAnsi="Times New Roman"/>
          <w:lang w:val="sr-Cyrl-CS"/>
        </w:rPr>
        <w:t>.</w:t>
      </w:r>
    </w:p>
    <w:p w:rsidR="00167647" w:rsidRPr="007C4B9A" w:rsidRDefault="00167647" w:rsidP="007C4B9A">
      <w:pPr>
        <w:pStyle w:val="NoSpacing"/>
        <w:jc w:val="both"/>
        <w:rPr>
          <w:rFonts w:ascii="Times New Roman" w:hAnsi="Times New Roman"/>
          <w:lang w:val="sr-Cyrl-CS"/>
        </w:rPr>
      </w:pPr>
      <w:r w:rsidRPr="007C4B9A">
        <w:rPr>
          <w:rFonts w:ascii="Times New Roman" w:hAnsi="Times New Roman"/>
          <w:lang w:val="sr-Cyrl-CS"/>
        </w:rPr>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2F41AF">
        <w:rPr>
          <w:rFonts w:ascii="Times New Roman" w:hAnsi="Times New Roman"/>
          <w:b/>
          <w:lang w:val="sr-Cyrl-CS"/>
        </w:rPr>
        <w:t>15</w:t>
      </w:r>
      <w:r w:rsidRPr="007C4B9A">
        <w:rPr>
          <w:rFonts w:ascii="Times New Roman" w:hAnsi="Times New Roman"/>
          <w:b/>
          <w:lang w:val="sr-Cyrl-CS"/>
        </w:rPr>
        <w:t xml:space="preserve"> дана од дана потписивања купопродајног уговора</w:t>
      </w:r>
      <w:r w:rsidRPr="007C4B9A">
        <w:rPr>
          <w:rFonts w:ascii="Times New Roman" w:hAnsi="Times New Roman"/>
          <w:lang w:val="sr-Cyrl-CS"/>
        </w:rPr>
        <w:t>. Други најбољи понуђач има иста права и обавезе као и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три радна дана од пријема обавештења којим се други најбољи понуђач проглашава за купца.</w:t>
      </w:r>
    </w:p>
    <w:p w:rsidR="00167647" w:rsidRPr="007C4B9A" w:rsidRDefault="00167647" w:rsidP="007C4B9A">
      <w:pPr>
        <w:pStyle w:val="NoSpacing"/>
        <w:jc w:val="both"/>
        <w:rPr>
          <w:rFonts w:ascii="Times New Roman" w:hAnsi="Times New Roman"/>
          <w:lang w:val="sr-Cyrl-CS"/>
        </w:rPr>
      </w:pPr>
      <w:r w:rsidRPr="007C4B9A">
        <w:rPr>
          <w:rFonts w:ascii="Times New Roman" w:hAnsi="Times New Roman"/>
          <w:lang w:val="sr-Cyrl-CS"/>
        </w:rPr>
        <w:t xml:space="preserve">Учесницима који на јавном надметању нису стекли статус купца или другог најбољег понуђача, депозит (гаранција) се враћа у року од 7 радних дана од дана јавног надметања. </w:t>
      </w:r>
    </w:p>
    <w:p w:rsidR="00167647" w:rsidRPr="007C4B9A" w:rsidRDefault="00167647" w:rsidP="007C4B9A">
      <w:pPr>
        <w:pStyle w:val="NoSpacing"/>
        <w:jc w:val="both"/>
        <w:rPr>
          <w:rFonts w:ascii="Times New Roman" w:hAnsi="Times New Roman"/>
          <w:lang w:val="sr-Cyrl-CS"/>
        </w:rPr>
      </w:pPr>
      <w:r w:rsidRPr="007C4B9A">
        <w:rPr>
          <w:rFonts w:ascii="Times New Roman" w:hAnsi="Times New Roman"/>
          <w:lang w:val="sr-Cyrl-CS"/>
        </w:rPr>
        <w:t>Уплатилац депозита губи право на повраћај депозита у складу са Изјавом о губитку права на повраћај депозита.</w:t>
      </w:r>
    </w:p>
    <w:p w:rsidR="00167647" w:rsidRPr="007C4B9A" w:rsidRDefault="00167647" w:rsidP="007C4B9A">
      <w:pPr>
        <w:pStyle w:val="NoSpacing"/>
        <w:jc w:val="both"/>
        <w:rPr>
          <w:rFonts w:ascii="Times New Roman" w:hAnsi="Times New Roman"/>
          <w:lang w:val="sr-Cyrl-CS"/>
        </w:rPr>
      </w:pPr>
      <w:r w:rsidRPr="007C4B9A">
        <w:rPr>
          <w:rFonts w:ascii="Times New Roman" w:hAnsi="Times New Roman"/>
          <w:lang w:val="sr-Cyrl-CS"/>
        </w:rPr>
        <w:t xml:space="preserve">Сва имовина предмета продаје се продаје у виђеном стању, без права купца на накнадну рекламацију и подношење тужбе по било ком основу. </w:t>
      </w:r>
      <w:r w:rsidRPr="00E63085">
        <w:rPr>
          <w:rFonts w:ascii="Times New Roman" w:hAnsi="Times New Roman"/>
          <w:b/>
          <w:lang w:val="sr-Cyrl-CS"/>
        </w:rPr>
        <w:t>Припадајући порези и трошкови који произилазе из закљученог купопродајног уговора у целости сноси купац</w:t>
      </w:r>
      <w:r w:rsidRPr="007C4B9A">
        <w:rPr>
          <w:rFonts w:ascii="Times New Roman" w:hAnsi="Times New Roman"/>
          <w:lang w:val="sr-Cyrl-CS"/>
        </w:rPr>
        <w:t>.</w:t>
      </w:r>
    </w:p>
    <w:p w:rsidR="00167647" w:rsidRPr="007C4B9A" w:rsidRDefault="00167647" w:rsidP="007C4B9A">
      <w:pPr>
        <w:pStyle w:val="NoSpacing"/>
        <w:jc w:val="both"/>
        <w:rPr>
          <w:rFonts w:ascii="Times New Roman" w:hAnsi="Times New Roman"/>
          <w:lang w:val="sr-Cyrl-CS"/>
        </w:rPr>
      </w:pPr>
      <w:r w:rsidRPr="007C4B9A">
        <w:rPr>
          <w:rFonts w:ascii="Times New Roman" w:hAnsi="Times New Roman"/>
          <w:lang w:val="sr-Cyrl-CS"/>
        </w:rPr>
        <w:t>У случају да за купца у поступку пр</w:t>
      </w:r>
      <w:r w:rsidR="007C74EC">
        <w:rPr>
          <w:rFonts w:ascii="Times New Roman" w:hAnsi="Times New Roman"/>
          <w:lang w:val="sr-Cyrl-CS"/>
        </w:rPr>
        <w:t>одаје буде проглашено</w:t>
      </w:r>
      <w:r w:rsidRPr="007C4B9A">
        <w:rPr>
          <w:rFonts w:ascii="Times New Roman" w:hAnsi="Times New Roman"/>
          <w:lang w:val="sr-Cyrl-CS"/>
        </w:rPr>
        <w:t xml:space="preserve"> лице које подлеже обавези подношења пријаве конкуренције,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w:t>
      </w:r>
      <w:r w:rsidRPr="007C4B9A">
        <w:rPr>
          <w:rFonts w:ascii="Times New Roman" w:hAnsi="Times New Roman"/>
          <w:lang w:val="sr-Cyrl-CS"/>
        </w:rPr>
        <w:lastRenderedPageBreak/>
        <w:t>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167647" w:rsidRPr="007C4B9A" w:rsidRDefault="00167647" w:rsidP="007C4B9A">
      <w:pPr>
        <w:pStyle w:val="NoSpacing"/>
        <w:rPr>
          <w:rFonts w:ascii="Times New Roman" w:hAnsi="Times New Roman"/>
          <w:lang w:val="sr-Cyrl-CS"/>
        </w:rPr>
      </w:pPr>
    </w:p>
    <w:p w:rsidR="00167647" w:rsidRPr="001F60E0" w:rsidRDefault="00E63085" w:rsidP="00732FBF">
      <w:pPr>
        <w:pStyle w:val="NoSpacing"/>
        <w:jc w:val="both"/>
        <w:rPr>
          <w:rFonts w:ascii="Times New Roman" w:hAnsi="Times New Roman"/>
          <w:sz w:val="24"/>
          <w:szCs w:val="24"/>
        </w:rPr>
      </w:pPr>
      <w:r>
        <w:rPr>
          <w:rFonts w:ascii="Times New Roman" w:hAnsi="Times New Roman"/>
          <w:lang w:val="sr-Cyrl-CS"/>
        </w:rPr>
        <w:t>Овлашћено лице: стечајни</w:t>
      </w:r>
      <w:r w:rsidR="00167647" w:rsidRPr="007C4B9A">
        <w:rPr>
          <w:rFonts w:ascii="Times New Roman" w:hAnsi="Times New Roman"/>
          <w:lang w:val="sr-Cyrl-CS"/>
        </w:rPr>
        <w:t xml:space="preserve"> управник</w:t>
      </w:r>
      <w:r w:rsidR="0080182F">
        <w:rPr>
          <w:rFonts w:ascii="Times New Roman" w:hAnsi="Times New Roman"/>
          <w:lang w:val="sr-Cyrl-CS"/>
        </w:rPr>
        <w:t xml:space="preserve"> Драгослав Бакић</w:t>
      </w:r>
      <w:r w:rsidR="001F60E0">
        <w:rPr>
          <w:rFonts w:ascii="Times New Roman" w:hAnsi="Times New Roman"/>
          <w:lang w:val="sr-Cyrl-CS"/>
        </w:rPr>
        <w:t>, тел.</w:t>
      </w:r>
      <w:r w:rsidR="0080182F">
        <w:rPr>
          <w:rFonts w:ascii="Times New Roman" w:hAnsi="Times New Roman"/>
          <w:lang w:val="sr-Cyrl-CS"/>
        </w:rPr>
        <w:t xml:space="preserve"> 064/152-6633</w:t>
      </w:r>
      <w:r w:rsidR="00167647">
        <w:rPr>
          <w:rFonts w:ascii="Times New Roman" w:hAnsi="Times New Roman"/>
          <w:lang w:val="sr-Cyrl-CS"/>
        </w:rPr>
        <w:t xml:space="preserve">, електронска пошта: </w:t>
      </w:r>
      <w:r w:rsidR="0080182F">
        <w:rPr>
          <w:rFonts w:ascii="Times New Roman" w:hAnsi="Times New Roman"/>
          <w:lang w:val="sr-Cyrl-CS"/>
        </w:rPr>
        <w:t>d</w:t>
      </w:r>
      <w:r w:rsidR="0080182F">
        <w:rPr>
          <w:rFonts w:ascii="Times New Roman" w:hAnsi="Times New Roman"/>
          <w:lang w:val="sr-Latn-RS"/>
        </w:rPr>
        <w:t>bakic</w:t>
      </w:r>
      <w:r w:rsidR="0080182F">
        <w:rPr>
          <w:rFonts w:ascii="Times New Roman" w:hAnsi="Times New Roman"/>
          <w:lang w:val="en-US"/>
        </w:rPr>
        <w:t>@</w:t>
      </w:r>
      <w:r w:rsidR="0080182F">
        <w:rPr>
          <w:rFonts w:ascii="Times New Roman" w:hAnsi="Times New Roman"/>
          <w:lang w:val="sr-Latn-RS"/>
        </w:rPr>
        <w:t>mts.rs</w:t>
      </w:r>
      <w:r w:rsidR="001F60E0">
        <w:rPr>
          <w:rFonts w:ascii="Times New Roman" w:hAnsi="Times New Roman"/>
        </w:rPr>
        <w:t>.</w:t>
      </w:r>
    </w:p>
    <w:sectPr w:rsidR="00167647" w:rsidRPr="001F60E0" w:rsidSect="00091FA6">
      <w:footerReference w:type="default" r:id="rId8"/>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96" w:rsidRDefault="00411396" w:rsidP="006A40E4">
      <w:pPr>
        <w:spacing w:after="0" w:line="240" w:lineRule="auto"/>
      </w:pPr>
      <w:r>
        <w:separator/>
      </w:r>
    </w:p>
  </w:endnote>
  <w:endnote w:type="continuationSeparator" w:id="0">
    <w:p w:rsidR="00411396" w:rsidRDefault="00411396" w:rsidP="006A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47" w:rsidRPr="006A40E4" w:rsidRDefault="00167647" w:rsidP="006A40E4">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96" w:rsidRDefault="00411396" w:rsidP="006A40E4">
      <w:pPr>
        <w:spacing w:after="0" w:line="240" w:lineRule="auto"/>
      </w:pPr>
      <w:r>
        <w:separator/>
      </w:r>
    </w:p>
  </w:footnote>
  <w:footnote w:type="continuationSeparator" w:id="0">
    <w:p w:rsidR="00411396" w:rsidRDefault="00411396" w:rsidP="006A4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7FF"/>
    <w:multiLevelType w:val="hybridMultilevel"/>
    <w:tmpl w:val="0AEED06A"/>
    <w:lvl w:ilvl="0" w:tplc="FE92B444">
      <w:start w:val="1"/>
      <w:numFmt w:val="decimal"/>
      <w:lvlText w:val="%1."/>
      <w:lvlJc w:val="left"/>
      <w:pPr>
        <w:tabs>
          <w:tab w:val="num" w:pos="780"/>
        </w:tabs>
        <w:ind w:left="780"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1DC95981"/>
    <w:multiLevelType w:val="hybridMultilevel"/>
    <w:tmpl w:val="601A47B0"/>
    <w:lvl w:ilvl="0" w:tplc="DC6476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53BE6"/>
    <w:multiLevelType w:val="hybridMultilevel"/>
    <w:tmpl w:val="18421358"/>
    <w:lvl w:ilvl="0" w:tplc="FFFFFFFF">
      <w:start w:val="1"/>
      <w:numFmt w:val="bullet"/>
      <w:lvlText w:val="-"/>
      <w:lvlJc w:val="left"/>
      <w:pPr>
        <w:tabs>
          <w:tab w:val="num" w:pos="720"/>
        </w:tabs>
        <w:ind w:left="720" w:hanging="360"/>
      </w:pPr>
      <w:rPr>
        <w:rFonts w:ascii="Times New Roman" w:eastAsia="Times"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12025"/>
    <w:multiLevelType w:val="hybridMultilevel"/>
    <w:tmpl w:val="D4A8C5AC"/>
    <w:lvl w:ilvl="0" w:tplc="47608322">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26B9430A"/>
    <w:multiLevelType w:val="hybridMultilevel"/>
    <w:tmpl w:val="4EFCA70A"/>
    <w:lvl w:ilvl="0" w:tplc="47608322">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377A13EA"/>
    <w:multiLevelType w:val="hybridMultilevel"/>
    <w:tmpl w:val="7B60762A"/>
    <w:lvl w:ilvl="0" w:tplc="C6EE222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3B241E8A"/>
    <w:multiLevelType w:val="hybridMultilevel"/>
    <w:tmpl w:val="B52872B2"/>
    <w:lvl w:ilvl="0" w:tplc="47608322">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3E080A5B"/>
    <w:multiLevelType w:val="hybridMultilevel"/>
    <w:tmpl w:val="F2B81DA8"/>
    <w:lvl w:ilvl="0" w:tplc="47608322">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3EE62EB9"/>
    <w:multiLevelType w:val="hybridMultilevel"/>
    <w:tmpl w:val="442CD4F4"/>
    <w:lvl w:ilvl="0" w:tplc="47608322">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54BB469B"/>
    <w:multiLevelType w:val="hybridMultilevel"/>
    <w:tmpl w:val="F0569D5C"/>
    <w:lvl w:ilvl="0" w:tplc="47608322">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56A77A24"/>
    <w:multiLevelType w:val="hybridMultilevel"/>
    <w:tmpl w:val="F30CAFBA"/>
    <w:lvl w:ilvl="0" w:tplc="47608322">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64B11AA6"/>
    <w:multiLevelType w:val="hybridMultilevel"/>
    <w:tmpl w:val="D438FDDA"/>
    <w:lvl w:ilvl="0" w:tplc="C75463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928D7"/>
    <w:multiLevelType w:val="hybridMultilevel"/>
    <w:tmpl w:val="0A30198E"/>
    <w:lvl w:ilvl="0" w:tplc="47608322">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73427C7D"/>
    <w:multiLevelType w:val="hybridMultilevel"/>
    <w:tmpl w:val="225A4152"/>
    <w:lvl w:ilvl="0" w:tplc="47608322">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7D602F6B"/>
    <w:multiLevelType w:val="hybridMultilevel"/>
    <w:tmpl w:val="30B621FA"/>
    <w:lvl w:ilvl="0" w:tplc="C6EE2224">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1"/>
  </w:num>
  <w:num w:numId="6">
    <w:abstractNumId w:val="8"/>
  </w:num>
  <w:num w:numId="7">
    <w:abstractNumId w:val="4"/>
  </w:num>
  <w:num w:numId="8">
    <w:abstractNumId w:val="3"/>
  </w:num>
  <w:num w:numId="9">
    <w:abstractNumId w:val="10"/>
  </w:num>
  <w:num w:numId="10">
    <w:abstractNumId w:val="13"/>
  </w:num>
  <w:num w:numId="11">
    <w:abstractNumId w:val="9"/>
  </w:num>
  <w:num w:numId="12">
    <w:abstractNumId w:val="15"/>
  </w:num>
  <w:num w:numId="13">
    <w:abstractNumId w:val="0"/>
  </w:num>
  <w:num w:numId="14">
    <w:abstractNumId w:val="5"/>
  </w:num>
  <w:num w:numId="15">
    <w:abstractNumId w:val="12"/>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03"/>
    <w:rsid w:val="00010F0A"/>
    <w:rsid w:val="000133A6"/>
    <w:rsid w:val="0001551F"/>
    <w:rsid w:val="00015BAF"/>
    <w:rsid w:val="0002520E"/>
    <w:rsid w:val="00047D1B"/>
    <w:rsid w:val="00072DC9"/>
    <w:rsid w:val="00091FA6"/>
    <w:rsid w:val="0009745F"/>
    <w:rsid w:val="000B6DBF"/>
    <w:rsid w:val="000C401D"/>
    <w:rsid w:val="000D6A9A"/>
    <w:rsid w:val="000E735C"/>
    <w:rsid w:val="000F1B84"/>
    <w:rsid w:val="00106BFE"/>
    <w:rsid w:val="001112D3"/>
    <w:rsid w:val="00132D7E"/>
    <w:rsid w:val="00143C2D"/>
    <w:rsid w:val="001551D5"/>
    <w:rsid w:val="00167647"/>
    <w:rsid w:val="0018002E"/>
    <w:rsid w:val="001A0A3E"/>
    <w:rsid w:val="001A5E85"/>
    <w:rsid w:val="001E3448"/>
    <w:rsid w:val="001F0E1C"/>
    <w:rsid w:val="001F60E0"/>
    <w:rsid w:val="0021333D"/>
    <w:rsid w:val="00243957"/>
    <w:rsid w:val="0024507E"/>
    <w:rsid w:val="0026490D"/>
    <w:rsid w:val="00265031"/>
    <w:rsid w:val="00287343"/>
    <w:rsid w:val="002A76F3"/>
    <w:rsid w:val="002C0741"/>
    <w:rsid w:val="002E630D"/>
    <w:rsid w:val="002F41AF"/>
    <w:rsid w:val="00302F59"/>
    <w:rsid w:val="003145C8"/>
    <w:rsid w:val="00350AA3"/>
    <w:rsid w:val="003742D1"/>
    <w:rsid w:val="003C0CB3"/>
    <w:rsid w:val="003D7919"/>
    <w:rsid w:val="003F1A8F"/>
    <w:rsid w:val="003F49EA"/>
    <w:rsid w:val="003F61F6"/>
    <w:rsid w:val="00411396"/>
    <w:rsid w:val="00446ACE"/>
    <w:rsid w:val="00475617"/>
    <w:rsid w:val="004828BA"/>
    <w:rsid w:val="004C460E"/>
    <w:rsid w:val="004F47D3"/>
    <w:rsid w:val="005006FC"/>
    <w:rsid w:val="00505AE2"/>
    <w:rsid w:val="00514E8D"/>
    <w:rsid w:val="00580DE8"/>
    <w:rsid w:val="005822F4"/>
    <w:rsid w:val="00586429"/>
    <w:rsid w:val="005A7801"/>
    <w:rsid w:val="005B1B3E"/>
    <w:rsid w:val="005E6CF7"/>
    <w:rsid w:val="00616FA2"/>
    <w:rsid w:val="00647B35"/>
    <w:rsid w:val="00675162"/>
    <w:rsid w:val="00683B66"/>
    <w:rsid w:val="00685CB6"/>
    <w:rsid w:val="006A40E4"/>
    <w:rsid w:val="00701E6B"/>
    <w:rsid w:val="00715742"/>
    <w:rsid w:val="00732FBF"/>
    <w:rsid w:val="007427DD"/>
    <w:rsid w:val="007573BD"/>
    <w:rsid w:val="00772E8C"/>
    <w:rsid w:val="007926D5"/>
    <w:rsid w:val="007A5131"/>
    <w:rsid w:val="007C1E8C"/>
    <w:rsid w:val="007C4B9A"/>
    <w:rsid w:val="007C74EC"/>
    <w:rsid w:val="007F60DC"/>
    <w:rsid w:val="0080182F"/>
    <w:rsid w:val="00874838"/>
    <w:rsid w:val="00880384"/>
    <w:rsid w:val="00885FF9"/>
    <w:rsid w:val="00893B12"/>
    <w:rsid w:val="008B397D"/>
    <w:rsid w:val="0091527F"/>
    <w:rsid w:val="00932DD2"/>
    <w:rsid w:val="00947BCA"/>
    <w:rsid w:val="009651A4"/>
    <w:rsid w:val="00982172"/>
    <w:rsid w:val="009823E8"/>
    <w:rsid w:val="00995358"/>
    <w:rsid w:val="009978B5"/>
    <w:rsid w:val="009C1BB6"/>
    <w:rsid w:val="009D7E45"/>
    <w:rsid w:val="009E643F"/>
    <w:rsid w:val="00A1094C"/>
    <w:rsid w:val="00A16D23"/>
    <w:rsid w:val="00A22AC3"/>
    <w:rsid w:val="00A418D5"/>
    <w:rsid w:val="00A61457"/>
    <w:rsid w:val="00A64A0A"/>
    <w:rsid w:val="00A6740C"/>
    <w:rsid w:val="00A82765"/>
    <w:rsid w:val="00AB1588"/>
    <w:rsid w:val="00AB502A"/>
    <w:rsid w:val="00AE141B"/>
    <w:rsid w:val="00AE403D"/>
    <w:rsid w:val="00B075AD"/>
    <w:rsid w:val="00B108B8"/>
    <w:rsid w:val="00B1248A"/>
    <w:rsid w:val="00B16EF0"/>
    <w:rsid w:val="00B30D5E"/>
    <w:rsid w:val="00B70549"/>
    <w:rsid w:val="00BB6B37"/>
    <w:rsid w:val="00BC61A8"/>
    <w:rsid w:val="00BD2797"/>
    <w:rsid w:val="00BE39C4"/>
    <w:rsid w:val="00C23003"/>
    <w:rsid w:val="00C379B6"/>
    <w:rsid w:val="00C43A7C"/>
    <w:rsid w:val="00C6412B"/>
    <w:rsid w:val="00C764DF"/>
    <w:rsid w:val="00C91B91"/>
    <w:rsid w:val="00CF0785"/>
    <w:rsid w:val="00D01EC6"/>
    <w:rsid w:val="00D06EEF"/>
    <w:rsid w:val="00D07E71"/>
    <w:rsid w:val="00D16C38"/>
    <w:rsid w:val="00D178D1"/>
    <w:rsid w:val="00D26A91"/>
    <w:rsid w:val="00D358EC"/>
    <w:rsid w:val="00D45909"/>
    <w:rsid w:val="00D503D8"/>
    <w:rsid w:val="00D939DF"/>
    <w:rsid w:val="00DA1DD4"/>
    <w:rsid w:val="00DB0DDD"/>
    <w:rsid w:val="00DD5883"/>
    <w:rsid w:val="00E0395A"/>
    <w:rsid w:val="00E63085"/>
    <w:rsid w:val="00E722DA"/>
    <w:rsid w:val="00E94AFA"/>
    <w:rsid w:val="00EC4996"/>
    <w:rsid w:val="00ED6E32"/>
    <w:rsid w:val="00EE094C"/>
    <w:rsid w:val="00EE2DC7"/>
    <w:rsid w:val="00EF737A"/>
    <w:rsid w:val="00F0139A"/>
    <w:rsid w:val="00F02A87"/>
    <w:rsid w:val="00F315DB"/>
    <w:rsid w:val="00F54715"/>
    <w:rsid w:val="00F577B4"/>
    <w:rsid w:val="00F73062"/>
    <w:rsid w:val="00FE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A4D717-2062-4DB9-96AF-4F968B84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1B"/>
    <w:pPr>
      <w:spacing w:after="200" w:line="276" w:lineRule="auto"/>
    </w:pPr>
    <w:rPr>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00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23003"/>
    <w:rPr>
      <w:lang w:val="sr-Latn-CS" w:eastAsia="sr-Latn-CS"/>
    </w:rPr>
  </w:style>
  <w:style w:type="paragraph" w:styleId="BalloonText">
    <w:name w:val="Balloon Text"/>
    <w:basedOn w:val="Normal"/>
    <w:link w:val="BalloonTextChar"/>
    <w:uiPriority w:val="99"/>
    <w:semiHidden/>
    <w:rsid w:val="0061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FA2"/>
    <w:rPr>
      <w:rFonts w:ascii="Tahoma" w:hAnsi="Tahoma" w:cs="Tahoma"/>
      <w:sz w:val="16"/>
      <w:szCs w:val="16"/>
    </w:rPr>
  </w:style>
  <w:style w:type="paragraph" w:styleId="Header">
    <w:name w:val="header"/>
    <w:basedOn w:val="Normal"/>
    <w:link w:val="HeaderChar"/>
    <w:uiPriority w:val="99"/>
    <w:semiHidden/>
    <w:rsid w:val="006A40E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6A40E4"/>
    <w:rPr>
      <w:rFonts w:cs="Times New Roman"/>
    </w:rPr>
  </w:style>
  <w:style w:type="paragraph" w:styleId="Footer">
    <w:name w:val="footer"/>
    <w:basedOn w:val="Normal"/>
    <w:link w:val="FooterChar"/>
    <w:uiPriority w:val="99"/>
    <w:rsid w:val="006A40E4"/>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6A40E4"/>
    <w:rPr>
      <w:rFonts w:cs="Times New Roman"/>
    </w:rPr>
  </w:style>
  <w:style w:type="character" w:styleId="Hyperlink">
    <w:name w:val="Hyperlink"/>
    <w:basedOn w:val="DefaultParagraphFont"/>
    <w:uiPriority w:val="99"/>
    <w:unhideWhenUsed/>
    <w:rsid w:val="001F6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75023">
      <w:marLeft w:val="0"/>
      <w:marRight w:val="0"/>
      <w:marTop w:val="0"/>
      <w:marBottom w:val="0"/>
      <w:divBdr>
        <w:top w:val="none" w:sz="0" w:space="0" w:color="auto"/>
        <w:left w:val="none" w:sz="0" w:space="0" w:color="auto"/>
        <w:bottom w:val="none" w:sz="0" w:space="0" w:color="auto"/>
        <w:right w:val="none" w:sz="0" w:space="0" w:color="auto"/>
      </w:divBdr>
    </w:div>
    <w:div w:id="6908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90D94-B460-4E99-A162-C4DE9FD5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Vedran</cp:lastModifiedBy>
  <cp:revision>2</cp:revision>
  <cp:lastPrinted>2016-08-29T08:22:00Z</cp:lastPrinted>
  <dcterms:created xsi:type="dcterms:W3CDTF">2023-07-28T10:40:00Z</dcterms:created>
  <dcterms:modified xsi:type="dcterms:W3CDTF">2023-07-28T10:40:00Z</dcterms:modified>
</cp:coreProperties>
</file>